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84E8" w14:textId="05FD2627" w:rsidR="005273DA" w:rsidRPr="000E09C2" w:rsidRDefault="00E35E0D">
      <w:pPr>
        <w:pStyle w:val="Title"/>
        <w:rPr>
          <w:szCs w:val="24"/>
        </w:rPr>
      </w:pPr>
      <w:r w:rsidRPr="000E09C2">
        <w:rPr>
          <w:szCs w:val="24"/>
        </w:rPr>
        <w:t>Political Philosophy from Grotius to Kant</w:t>
      </w:r>
    </w:p>
    <w:p w14:paraId="070072F7" w14:textId="2446BB2C" w:rsidR="005273DA" w:rsidRPr="000E09C2" w:rsidRDefault="00E14A53" w:rsidP="0095005C">
      <w:pPr>
        <w:tabs>
          <w:tab w:val="left" w:pos="720"/>
          <w:tab w:val="left" w:pos="3330"/>
        </w:tabs>
        <w:jc w:val="center"/>
        <w:rPr>
          <w:rFonts w:ascii="Times New Roman" w:hAnsi="Times New Roman"/>
          <w:szCs w:val="24"/>
        </w:rPr>
      </w:pPr>
      <w:r w:rsidRPr="000E09C2">
        <w:rPr>
          <w:rFonts w:ascii="Times New Roman" w:hAnsi="Times New Roman"/>
          <w:szCs w:val="24"/>
        </w:rPr>
        <w:t>Tuesdays</w:t>
      </w:r>
      <w:r w:rsidR="00734FA2" w:rsidRPr="000E09C2">
        <w:rPr>
          <w:rFonts w:ascii="Times New Roman" w:hAnsi="Times New Roman"/>
          <w:szCs w:val="24"/>
        </w:rPr>
        <w:t xml:space="preserve"> </w:t>
      </w:r>
      <w:r w:rsidRPr="000E09C2">
        <w:rPr>
          <w:rFonts w:ascii="Times New Roman" w:hAnsi="Times New Roman"/>
          <w:szCs w:val="24"/>
        </w:rPr>
        <w:t>10-11:50</w:t>
      </w:r>
      <w:r w:rsidR="0095005C" w:rsidRPr="000E09C2">
        <w:rPr>
          <w:rFonts w:ascii="Times New Roman" w:hAnsi="Times New Roman"/>
          <w:szCs w:val="24"/>
        </w:rPr>
        <w:t xml:space="preserve">, </w:t>
      </w:r>
      <w:r w:rsidR="00124F68" w:rsidRPr="000E09C2">
        <w:rPr>
          <w:rFonts w:ascii="Times New Roman" w:hAnsi="Times New Roman"/>
          <w:szCs w:val="24"/>
        </w:rPr>
        <w:t xml:space="preserve">Location: </w:t>
      </w:r>
      <w:r w:rsidR="003F4288">
        <w:rPr>
          <w:rFonts w:ascii="Times New Roman" w:hAnsi="Times New Roman"/>
          <w:szCs w:val="24"/>
        </w:rPr>
        <w:t>TBA</w:t>
      </w:r>
    </w:p>
    <w:p w14:paraId="02727651" w14:textId="77777777" w:rsidR="00A7652C" w:rsidRPr="000E09C2" w:rsidRDefault="00A7652C">
      <w:pPr>
        <w:tabs>
          <w:tab w:val="left" w:pos="720"/>
          <w:tab w:val="left" w:pos="3330"/>
        </w:tabs>
        <w:jc w:val="center"/>
        <w:rPr>
          <w:rFonts w:ascii="Times New Roman" w:hAnsi="Times New Roman"/>
          <w:szCs w:val="24"/>
        </w:rPr>
      </w:pPr>
    </w:p>
    <w:p w14:paraId="374723E8" w14:textId="04874988" w:rsidR="005273DA" w:rsidRPr="000E09C2" w:rsidRDefault="00E35E0D">
      <w:pPr>
        <w:tabs>
          <w:tab w:val="left" w:pos="720"/>
          <w:tab w:val="left" w:pos="3330"/>
        </w:tabs>
        <w:rPr>
          <w:rFonts w:ascii="Times New Roman" w:hAnsi="Times New Roman"/>
          <w:szCs w:val="24"/>
        </w:rPr>
      </w:pPr>
      <w:r w:rsidRPr="000E09C2">
        <w:rPr>
          <w:rFonts w:ascii="Times New Roman" w:hAnsi="Times New Roman"/>
          <w:szCs w:val="24"/>
        </w:rPr>
        <w:t>Steve Darwall</w:t>
      </w:r>
      <w:r w:rsidRPr="000E09C2">
        <w:rPr>
          <w:rFonts w:ascii="Times New Roman" w:hAnsi="Times New Roman"/>
          <w:szCs w:val="24"/>
        </w:rPr>
        <w:tab/>
        <w:t>Scott Shapiro</w:t>
      </w:r>
      <w:r w:rsidRPr="000E09C2">
        <w:rPr>
          <w:rFonts w:ascii="Times New Roman" w:hAnsi="Times New Roman"/>
          <w:szCs w:val="24"/>
        </w:rPr>
        <w:tab/>
      </w:r>
      <w:r w:rsidRPr="000E09C2">
        <w:rPr>
          <w:rFonts w:ascii="Times New Roman" w:hAnsi="Times New Roman"/>
          <w:szCs w:val="24"/>
        </w:rPr>
        <w:tab/>
      </w:r>
      <w:r w:rsidRPr="000E09C2">
        <w:rPr>
          <w:rFonts w:ascii="Times New Roman" w:hAnsi="Times New Roman"/>
          <w:szCs w:val="24"/>
        </w:rPr>
        <w:tab/>
      </w:r>
      <w:r w:rsidR="005273DA" w:rsidRPr="000E09C2">
        <w:rPr>
          <w:rFonts w:ascii="Times New Roman" w:hAnsi="Times New Roman"/>
          <w:szCs w:val="24"/>
        </w:rPr>
        <w:t>Gideon Yaffe</w:t>
      </w:r>
    </w:p>
    <w:p w14:paraId="3F393B45" w14:textId="1AF01501" w:rsidR="005273DA" w:rsidRPr="000E09C2" w:rsidRDefault="000E09C2">
      <w:pPr>
        <w:tabs>
          <w:tab w:val="left" w:pos="720"/>
          <w:tab w:val="left" w:pos="3330"/>
        </w:tabs>
        <w:rPr>
          <w:rFonts w:ascii="Times New Roman" w:hAnsi="Times New Roman"/>
          <w:szCs w:val="24"/>
        </w:rPr>
      </w:pPr>
      <w:proofErr w:type="gramStart"/>
      <w:r>
        <w:rPr>
          <w:rFonts w:ascii="Times New Roman" w:hAnsi="Times New Roman"/>
          <w:szCs w:val="24"/>
        </w:rPr>
        <w:t>stephen.darwall@yale.edu</w:t>
      </w:r>
      <w:proofErr w:type="gramEnd"/>
      <w:r w:rsidR="00E35E0D" w:rsidRPr="000E09C2">
        <w:rPr>
          <w:rFonts w:ascii="Times New Roman" w:hAnsi="Times New Roman"/>
          <w:szCs w:val="24"/>
        </w:rPr>
        <w:tab/>
      </w:r>
      <w:r>
        <w:rPr>
          <w:rFonts w:ascii="Times New Roman" w:hAnsi="Times New Roman"/>
          <w:szCs w:val="24"/>
        </w:rPr>
        <w:t>scott.shapiro@yale.edu</w:t>
      </w:r>
      <w:r w:rsidR="00E35E0D" w:rsidRPr="000E09C2">
        <w:rPr>
          <w:rFonts w:ascii="Times New Roman" w:hAnsi="Times New Roman"/>
          <w:szCs w:val="24"/>
        </w:rPr>
        <w:tab/>
      </w:r>
      <w:r w:rsidR="00E35E0D" w:rsidRPr="000E09C2">
        <w:rPr>
          <w:rFonts w:ascii="Times New Roman" w:hAnsi="Times New Roman"/>
          <w:szCs w:val="24"/>
        </w:rPr>
        <w:tab/>
      </w:r>
      <w:r w:rsidR="00296A2F" w:rsidRPr="000E09C2">
        <w:rPr>
          <w:rFonts w:ascii="Times New Roman" w:hAnsi="Times New Roman"/>
          <w:szCs w:val="24"/>
        </w:rPr>
        <w:t>gideon.yaffe@yale.edu</w:t>
      </w:r>
    </w:p>
    <w:p w14:paraId="11A3A48E" w14:textId="0A317D94" w:rsidR="005273DA" w:rsidRPr="000E09C2" w:rsidRDefault="000E09C2">
      <w:pPr>
        <w:tabs>
          <w:tab w:val="left" w:pos="720"/>
          <w:tab w:val="left" w:pos="3330"/>
        </w:tabs>
        <w:rPr>
          <w:rFonts w:ascii="Times New Roman" w:hAnsi="Times New Roman"/>
          <w:szCs w:val="24"/>
        </w:rPr>
      </w:pPr>
      <w:r>
        <w:rPr>
          <w:rFonts w:ascii="Times New Roman" w:hAnsi="Times New Roman"/>
          <w:szCs w:val="24"/>
        </w:rPr>
        <w:t>C 306</w:t>
      </w:r>
      <w:r w:rsidR="00E35E0D" w:rsidRPr="000E09C2">
        <w:rPr>
          <w:rFonts w:ascii="Times New Roman" w:hAnsi="Times New Roman"/>
          <w:szCs w:val="24"/>
        </w:rPr>
        <w:tab/>
      </w:r>
      <w:r w:rsidR="00E35E0D" w:rsidRPr="000E09C2">
        <w:rPr>
          <w:rFonts w:ascii="Times New Roman" w:hAnsi="Times New Roman"/>
          <w:szCs w:val="24"/>
        </w:rPr>
        <w:tab/>
      </w:r>
      <w:r w:rsidR="00BA5E06">
        <w:rPr>
          <w:rFonts w:ascii="Times New Roman" w:hAnsi="Times New Roman"/>
          <w:szCs w:val="24"/>
        </w:rPr>
        <w:t>YLS 247</w:t>
      </w:r>
      <w:r w:rsidR="00BA5E06">
        <w:rPr>
          <w:rFonts w:ascii="Times New Roman" w:hAnsi="Times New Roman"/>
          <w:szCs w:val="24"/>
        </w:rPr>
        <w:tab/>
      </w:r>
      <w:r w:rsidR="00BA5E06">
        <w:rPr>
          <w:rFonts w:ascii="Times New Roman" w:hAnsi="Times New Roman"/>
          <w:szCs w:val="24"/>
        </w:rPr>
        <w:tab/>
      </w:r>
      <w:r w:rsidR="00BA5E06">
        <w:rPr>
          <w:rFonts w:ascii="Times New Roman" w:hAnsi="Times New Roman"/>
          <w:szCs w:val="24"/>
        </w:rPr>
        <w:tab/>
      </w:r>
      <w:r w:rsidR="00BA5E06">
        <w:rPr>
          <w:rFonts w:ascii="Times New Roman" w:hAnsi="Times New Roman"/>
          <w:szCs w:val="24"/>
        </w:rPr>
        <w:tab/>
      </w:r>
      <w:r w:rsidR="006B6BE4" w:rsidRPr="000E09C2">
        <w:rPr>
          <w:rFonts w:ascii="Times New Roman" w:hAnsi="Times New Roman"/>
          <w:szCs w:val="24"/>
        </w:rPr>
        <w:t>YLS L24</w:t>
      </w:r>
    </w:p>
    <w:p w14:paraId="07810741" w14:textId="164199D8" w:rsidR="005273DA" w:rsidRPr="000E09C2" w:rsidRDefault="000E09C2">
      <w:pPr>
        <w:tabs>
          <w:tab w:val="left" w:pos="720"/>
          <w:tab w:val="left" w:pos="3330"/>
        </w:tabs>
        <w:rPr>
          <w:rFonts w:ascii="Times New Roman" w:hAnsi="Times New Roman"/>
          <w:szCs w:val="24"/>
        </w:rPr>
      </w:pPr>
      <w:r>
        <w:rPr>
          <w:rFonts w:ascii="Times New Roman" w:hAnsi="Times New Roman"/>
          <w:szCs w:val="24"/>
        </w:rPr>
        <w:t xml:space="preserve">Office Hours: </w:t>
      </w:r>
      <w:r w:rsidR="00920E2A">
        <w:rPr>
          <w:rFonts w:ascii="Times New Roman" w:hAnsi="Times New Roman"/>
          <w:szCs w:val="24"/>
        </w:rPr>
        <w:t xml:space="preserve">W </w:t>
      </w:r>
      <w:r>
        <w:rPr>
          <w:rFonts w:ascii="Times New Roman" w:hAnsi="Times New Roman"/>
          <w:szCs w:val="24"/>
        </w:rPr>
        <w:t>1:30-3:30</w:t>
      </w:r>
      <w:r>
        <w:rPr>
          <w:rFonts w:ascii="Times New Roman" w:hAnsi="Times New Roman"/>
          <w:szCs w:val="24"/>
        </w:rPr>
        <w:tab/>
        <w:t>Office Hours:</w:t>
      </w:r>
      <w:r>
        <w:rPr>
          <w:rFonts w:ascii="Times New Roman" w:hAnsi="Times New Roman"/>
          <w:szCs w:val="24"/>
        </w:rPr>
        <w:tab/>
      </w:r>
      <w:r>
        <w:rPr>
          <w:rFonts w:ascii="Times New Roman" w:hAnsi="Times New Roman"/>
          <w:szCs w:val="24"/>
        </w:rPr>
        <w:tab/>
      </w:r>
      <w:r>
        <w:rPr>
          <w:rFonts w:ascii="Times New Roman" w:hAnsi="Times New Roman"/>
          <w:szCs w:val="24"/>
        </w:rPr>
        <w:tab/>
      </w:r>
      <w:r w:rsidR="005273DA" w:rsidRPr="000E09C2">
        <w:rPr>
          <w:rFonts w:ascii="Times New Roman" w:hAnsi="Times New Roman"/>
          <w:szCs w:val="24"/>
        </w:rPr>
        <w:t xml:space="preserve">Office Hours: </w:t>
      </w:r>
      <w:r w:rsidR="00FA3655">
        <w:rPr>
          <w:rFonts w:ascii="Times New Roman" w:hAnsi="Times New Roman"/>
          <w:szCs w:val="24"/>
        </w:rPr>
        <w:t xml:space="preserve">By </w:t>
      </w:r>
      <w:proofErr w:type="spellStart"/>
      <w:r w:rsidR="00FA3655">
        <w:rPr>
          <w:rFonts w:ascii="Times New Roman" w:hAnsi="Times New Roman"/>
          <w:szCs w:val="24"/>
        </w:rPr>
        <w:t>appt</w:t>
      </w:r>
      <w:proofErr w:type="spellEnd"/>
    </w:p>
    <w:p w14:paraId="7C0007B3" w14:textId="77777777" w:rsidR="005273DA" w:rsidRPr="000E09C2" w:rsidRDefault="005273DA">
      <w:pPr>
        <w:tabs>
          <w:tab w:val="left" w:pos="720"/>
          <w:tab w:val="left" w:pos="3330"/>
        </w:tabs>
        <w:rPr>
          <w:rFonts w:ascii="Times New Roman" w:hAnsi="Times New Roman"/>
          <w:szCs w:val="24"/>
        </w:rPr>
      </w:pPr>
    </w:p>
    <w:p w14:paraId="28345BFC" w14:textId="77777777" w:rsidR="005273DA" w:rsidRPr="000E09C2" w:rsidRDefault="005273DA">
      <w:pPr>
        <w:pStyle w:val="Heading2"/>
        <w:tabs>
          <w:tab w:val="left" w:pos="720"/>
          <w:tab w:val="left" w:pos="3330"/>
        </w:tabs>
        <w:rPr>
          <w:rFonts w:ascii="Times New Roman" w:hAnsi="Times New Roman"/>
          <w:szCs w:val="24"/>
        </w:rPr>
      </w:pPr>
      <w:r w:rsidRPr="000E09C2">
        <w:rPr>
          <w:rFonts w:ascii="Times New Roman" w:hAnsi="Times New Roman"/>
          <w:szCs w:val="24"/>
        </w:rPr>
        <w:t>Course Summary</w:t>
      </w:r>
    </w:p>
    <w:p w14:paraId="7BB9930F" w14:textId="77777777" w:rsidR="005273DA" w:rsidRPr="000E09C2" w:rsidRDefault="005273DA">
      <w:pPr>
        <w:tabs>
          <w:tab w:val="left" w:pos="720"/>
          <w:tab w:val="left" w:pos="3330"/>
        </w:tabs>
        <w:jc w:val="center"/>
        <w:rPr>
          <w:rFonts w:ascii="Times New Roman" w:hAnsi="Times New Roman"/>
          <w:b/>
          <w:szCs w:val="24"/>
        </w:rPr>
      </w:pPr>
    </w:p>
    <w:p w14:paraId="194B8F5A" w14:textId="172F9763" w:rsidR="005273DA" w:rsidRPr="000E09C2" w:rsidRDefault="00E35E0D" w:rsidP="00E35E0D">
      <w:pPr>
        <w:rPr>
          <w:rFonts w:ascii="Times New Roman" w:eastAsia="Times New Roman" w:hAnsi="Times New Roman"/>
          <w:szCs w:val="24"/>
        </w:rPr>
      </w:pPr>
      <w:r w:rsidRPr="000E09C2">
        <w:rPr>
          <w:rFonts w:ascii="Times New Roman" w:eastAsia="Times New Roman" w:hAnsi="Times New Roman"/>
          <w:color w:val="222222"/>
          <w:szCs w:val="24"/>
          <w:shd w:val="clear" w:color="auto" w:fill="FFFFFF"/>
        </w:rPr>
        <w:t>This course will discuss major figures in the history of legal and political philosophy in the 17th and 18th centuries, with a focus on the works of Hugo Grotius, John Locke and Immanuel Kant.  Among the topics addressed will be the acquisition of property, the role of consent in the creation and transfer of rights, the relation of the individual to the state and the legitimacy of war as a legal institution.</w:t>
      </w:r>
    </w:p>
    <w:p w14:paraId="02C72E90" w14:textId="77777777" w:rsidR="005273DA" w:rsidRPr="000E09C2" w:rsidRDefault="005273DA">
      <w:pPr>
        <w:tabs>
          <w:tab w:val="left" w:pos="720"/>
          <w:tab w:val="left" w:pos="3330"/>
        </w:tabs>
        <w:jc w:val="center"/>
        <w:rPr>
          <w:rFonts w:ascii="Times New Roman" w:hAnsi="Times New Roman"/>
          <w:b/>
          <w:szCs w:val="24"/>
        </w:rPr>
      </w:pPr>
    </w:p>
    <w:p w14:paraId="2E520D00" w14:textId="0D9965F8" w:rsidR="005273DA" w:rsidRPr="000E09C2" w:rsidRDefault="005273DA">
      <w:pPr>
        <w:pStyle w:val="Heading2"/>
        <w:tabs>
          <w:tab w:val="left" w:pos="720"/>
          <w:tab w:val="left" w:pos="3330"/>
        </w:tabs>
        <w:rPr>
          <w:rFonts w:ascii="Times New Roman" w:hAnsi="Times New Roman"/>
          <w:szCs w:val="24"/>
        </w:rPr>
      </w:pPr>
      <w:r w:rsidRPr="000E09C2">
        <w:rPr>
          <w:rFonts w:ascii="Times New Roman" w:hAnsi="Times New Roman"/>
          <w:szCs w:val="24"/>
        </w:rPr>
        <w:t>Grading</w:t>
      </w:r>
      <w:r w:rsidR="00E35E0D" w:rsidRPr="000E09C2">
        <w:rPr>
          <w:rFonts w:ascii="Times New Roman" w:hAnsi="Times New Roman"/>
          <w:szCs w:val="24"/>
        </w:rPr>
        <w:t xml:space="preserve"> &amp; Texts</w:t>
      </w:r>
    </w:p>
    <w:p w14:paraId="1CC985CE" w14:textId="77777777" w:rsidR="005273DA" w:rsidRPr="000E09C2" w:rsidRDefault="005273DA">
      <w:pPr>
        <w:tabs>
          <w:tab w:val="left" w:pos="720"/>
          <w:tab w:val="left" w:pos="3330"/>
        </w:tabs>
        <w:rPr>
          <w:rFonts w:ascii="Times New Roman" w:hAnsi="Times New Roman"/>
          <w:b/>
          <w:szCs w:val="24"/>
        </w:rPr>
      </w:pPr>
    </w:p>
    <w:p w14:paraId="7A1F0148" w14:textId="2C466CE1" w:rsidR="005273DA" w:rsidRPr="000E09C2" w:rsidRDefault="005273DA">
      <w:pPr>
        <w:tabs>
          <w:tab w:val="left" w:pos="720"/>
          <w:tab w:val="left" w:pos="3330"/>
        </w:tabs>
        <w:rPr>
          <w:rFonts w:ascii="Times New Roman" w:hAnsi="Times New Roman"/>
          <w:szCs w:val="24"/>
        </w:rPr>
      </w:pPr>
      <w:r w:rsidRPr="000E09C2">
        <w:rPr>
          <w:rFonts w:ascii="Times New Roman" w:hAnsi="Times New Roman"/>
          <w:szCs w:val="24"/>
        </w:rPr>
        <w:t xml:space="preserve">The grade for the course will be based on a </w:t>
      </w:r>
      <w:r w:rsidR="00E35E0D" w:rsidRPr="000E09C2">
        <w:rPr>
          <w:rFonts w:ascii="Times New Roman" w:hAnsi="Times New Roman"/>
          <w:szCs w:val="24"/>
        </w:rPr>
        <w:t>final paper of approximately 8000</w:t>
      </w:r>
      <w:r w:rsidR="00354CB2" w:rsidRPr="000E09C2">
        <w:rPr>
          <w:rFonts w:ascii="Times New Roman" w:hAnsi="Times New Roman"/>
          <w:szCs w:val="24"/>
        </w:rPr>
        <w:t xml:space="preserve"> </w:t>
      </w:r>
      <w:r w:rsidR="00E35E0D" w:rsidRPr="000E09C2">
        <w:rPr>
          <w:rFonts w:ascii="Times New Roman" w:hAnsi="Times New Roman"/>
          <w:szCs w:val="24"/>
        </w:rPr>
        <w:t xml:space="preserve">words.  </w:t>
      </w:r>
      <w:r w:rsidR="00354CB2" w:rsidRPr="000E09C2">
        <w:rPr>
          <w:rFonts w:ascii="Times New Roman" w:hAnsi="Times New Roman"/>
          <w:szCs w:val="24"/>
        </w:rPr>
        <w:t xml:space="preserve">Four short response papers, due the day before discussion of the reading to which they respond, are also required.  </w:t>
      </w:r>
      <w:r w:rsidR="00E35E0D" w:rsidRPr="000E09C2">
        <w:rPr>
          <w:rFonts w:ascii="Times New Roman" w:hAnsi="Times New Roman"/>
          <w:szCs w:val="24"/>
        </w:rPr>
        <w:t>The readings will be distributed</w:t>
      </w:r>
      <w:r w:rsidR="00354CB2" w:rsidRPr="000E09C2">
        <w:rPr>
          <w:rFonts w:ascii="Times New Roman" w:hAnsi="Times New Roman"/>
          <w:szCs w:val="24"/>
        </w:rPr>
        <w:t xml:space="preserve"> digitally</w:t>
      </w:r>
      <w:r w:rsidR="00E35E0D" w:rsidRPr="000E09C2">
        <w:rPr>
          <w:rFonts w:ascii="Times New Roman" w:hAnsi="Times New Roman"/>
          <w:szCs w:val="24"/>
        </w:rPr>
        <w:t>.</w:t>
      </w:r>
    </w:p>
    <w:p w14:paraId="3AF058C3" w14:textId="77777777" w:rsidR="000E09C2" w:rsidRPr="000E09C2" w:rsidRDefault="000E09C2">
      <w:pPr>
        <w:tabs>
          <w:tab w:val="left" w:pos="720"/>
          <w:tab w:val="left" w:pos="3330"/>
        </w:tabs>
        <w:rPr>
          <w:rFonts w:ascii="Times New Roman" w:hAnsi="Times New Roman"/>
          <w:szCs w:val="24"/>
        </w:rPr>
      </w:pPr>
    </w:p>
    <w:p w14:paraId="318A1099" w14:textId="6E20C660" w:rsidR="000E09C2" w:rsidRPr="000E09C2" w:rsidRDefault="000E09C2" w:rsidP="000E09C2">
      <w:pPr>
        <w:tabs>
          <w:tab w:val="left" w:pos="720"/>
          <w:tab w:val="left" w:pos="3330"/>
        </w:tabs>
        <w:jc w:val="center"/>
        <w:rPr>
          <w:rFonts w:ascii="Times New Roman" w:hAnsi="Times New Roman"/>
          <w:b/>
          <w:szCs w:val="24"/>
        </w:rPr>
      </w:pPr>
      <w:r>
        <w:rPr>
          <w:rFonts w:ascii="Times New Roman" w:hAnsi="Times New Roman"/>
          <w:b/>
          <w:szCs w:val="24"/>
        </w:rPr>
        <w:t xml:space="preserve">Standard </w:t>
      </w:r>
      <w:r w:rsidRPr="000E09C2">
        <w:rPr>
          <w:rFonts w:ascii="Times New Roman" w:hAnsi="Times New Roman"/>
          <w:b/>
          <w:szCs w:val="24"/>
        </w:rPr>
        <w:t>Policies</w:t>
      </w:r>
    </w:p>
    <w:p w14:paraId="18AB9CAB" w14:textId="77777777" w:rsidR="000E09C2" w:rsidRPr="000E09C2" w:rsidRDefault="000E09C2" w:rsidP="000E09C2">
      <w:pPr>
        <w:tabs>
          <w:tab w:val="left" w:pos="720"/>
          <w:tab w:val="left" w:pos="3330"/>
        </w:tabs>
        <w:jc w:val="center"/>
        <w:rPr>
          <w:rFonts w:ascii="Times New Roman" w:hAnsi="Times New Roman"/>
          <w:b/>
          <w:szCs w:val="24"/>
        </w:rPr>
      </w:pPr>
    </w:p>
    <w:p w14:paraId="1BAAF532" w14:textId="2FEA4091" w:rsidR="000E09C2" w:rsidRPr="000E09C2" w:rsidRDefault="000E09C2" w:rsidP="000E09C2">
      <w:pPr>
        <w:rPr>
          <w:rFonts w:ascii="Times New Roman" w:eastAsia="Times New Roman" w:hAnsi="Times New Roman"/>
          <w:szCs w:val="24"/>
        </w:rPr>
      </w:pPr>
      <w:r w:rsidRPr="000E09C2">
        <w:rPr>
          <w:rFonts w:ascii="Times New Roman" w:eastAsia="Times New Roman" w:hAnsi="Times New Roman"/>
          <w:color w:val="222222"/>
          <w:szCs w:val="24"/>
          <w:shd w:val="clear" w:color="auto" w:fill="FFFFFF"/>
        </w:rPr>
        <w:t>•Students with documented disabilities should contact the Yale University Resource Office on Disabilities by email to the director, Judy York (</w:t>
      </w:r>
      <w:r w:rsidRPr="000E09C2">
        <w:rPr>
          <w:rFonts w:ascii="Times New Roman" w:eastAsia="Times New Roman" w:hAnsi="Times New Roman"/>
          <w:szCs w:val="24"/>
        </w:rPr>
        <w:fldChar w:fldCharType="begin"/>
      </w:r>
      <w:r w:rsidRPr="000E09C2">
        <w:rPr>
          <w:rFonts w:ascii="Times New Roman" w:eastAsia="Times New Roman" w:hAnsi="Times New Roman"/>
          <w:szCs w:val="24"/>
        </w:rPr>
        <w:instrText xml:space="preserve"> HYPERLINK "mailto:judith.york@yale.edu" \t "_blank" </w:instrText>
      </w:r>
      <w:r w:rsidRPr="000E09C2">
        <w:rPr>
          <w:rFonts w:ascii="Times New Roman" w:eastAsia="Times New Roman" w:hAnsi="Times New Roman"/>
          <w:szCs w:val="24"/>
        </w:rPr>
        <w:fldChar w:fldCharType="separate"/>
      </w:r>
      <w:r w:rsidRPr="000E09C2">
        <w:rPr>
          <w:rFonts w:ascii="Times New Roman" w:eastAsia="Times New Roman" w:hAnsi="Times New Roman"/>
          <w:color w:val="1155CC"/>
          <w:szCs w:val="24"/>
          <w:u w:val="single"/>
          <w:shd w:val="clear" w:color="auto" w:fill="FFFFFF"/>
        </w:rPr>
        <w:t>judith.york@yale.edu</w:t>
      </w:r>
      <w:r w:rsidRPr="000E09C2">
        <w:rPr>
          <w:rFonts w:ascii="Times New Roman" w:eastAsia="Times New Roman" w:hAnsi="Times New Roman"/>
          <w:szCs w:val="24"/>
        </w:rPr>
        <w:fldChar w:fldCharType="end"/>
      </w:r>
      <w:r w:rsidRPr="000E09C2">
        <w:rPr>
          <w:rFonts w:ascii="Times New Roman" w:eastAsia="Times New Roman" w:hAnsi="Times New Roman"/>
          <w:color w:val="222222"/>
          <w:szCs w:val="24"/>
          <w:shd w:val="clear" w:color="auto" w:fill="FFFFFF"/>
        </w:rPr>
        <w:t>), to request accommodation for examinations or other course-related needs. The Resource Office on Disabilities will work directly with the Registrar’s Office on accommodations.</w:t>
      </w:r>
    </w:p>
    <w:p w14:paraId="202E2105" w14:textId="77777777" w:rsidR="000E09C2" w:rsidRPr="000E09C2" w:rsidRDefault="000E09C2" w:rsidP="000E09C2">
      <w:pPr>
        <w:tabs>
          <w:tab w:val="left" w:pos="720"/>
          <w:tab w:val="left" w:pos="3330"/>
        </w:tabs>
        <w:rPr>
          <w:rFonts w:ascii="Times New Roman" w:hAnsi="Times New Roman"/>
          <w:b/>
          <w:szCs w:val="24"/>
        </w:rPr>
      </w:pPr>
    </w:p>
    <w:p w14:paraId="43960A95" w14:textId="77777777" w:rsidR="000E09C2" w:rsidRPr="000E09C2" w:rsidRDefault="000E09C2" w:rsidP="000E09C2">
      <w:pPr>
        <w:rPr>
          <w:rFonts w:ascii="Times New Roman" w:eastAsia="Times New Roman" w:hAnsi="Times New Roman"/>
          <w:szCs w:val="24"/>
        </w:rPr>
      </w:pPr>
      <w:r w:rsidRPr="000E09C2">
        <w:rPr>
          <w:rFonts w:ascii="Times New Roman" w:hAnsi="Times New Roman"/>
          <w:szCs w:val="24"/>
        </w:rPr>
        <w:t xml:space="preserve">• </w:t>
      </w:r>
      <w:r w:rsidRPr="000E09C2">
        <w:rPr>
          <w:rFonts w:ascii="Times New Roman" w:eastAsia="Times New Roman" w:hAnsi="Times New Roman"/>
          <w:color w:val="222222"/>
          <w:szCs w:val="24"/>
          <w:shd w:val="clear" w:color="auto" w:fill="FFFFFF"/>
        </w:rPr>
        <w:t>Academic integrity is a core institutional value at Yale. It means, among other things, truth in presentation, diligence and precision in citing works and ideas we have used, and acknowledging our collaborations with others. In view of our commitment to maintaining the highest standards of academic integrity, the Graduate School Code of Conduct specifically prohibits the following forms of behavior: cheating on examinations, problem sets and all other forms of assessment; falsification and/or fabrication of data; plagiarism, that is, the failure in a dissertation, essay or other written exercise to acknowledge ideas, research, or language taken from others; and multiple submission of the same work without obtaining explicit written permission from both instructors before the material is submitted. Students found guilty of violations of academic integrity are subject to one or more of the following penalties: written reprimand, probation, suspension (noted on a student’s transcript) or dismissal (noted on a student’s transcript).</w:t>
      </w:r>
    </w:p>
    <w:p w14:paraId="64F6308F" w14:textId="48BBB62B" w:rsidR="00B31E56" w:rsidRPr="000E09C2" w:rsidRDefault="00B31E56" w:rsidP="00E35E0D">
      <w:pPr>
        <w:pStyle w:val="Heading2"/>
        <w:tabs>
          <w:tab w:val="left" w:pos="720"/>
          <w:tab w:val="left" w:pos="3330"/>
        </w:tabs>
        <w:jc w:val="left"/>
        <w:rPr>
          <w:rFonts w:ascii="Times New Roman" w:hAnsi="Times New Roman"/>
          <w:szCs w:val="24"/>
        </w:rPr>
      </w:pPr>
    </w:p>
    <w:p w14:paraId="12C1C8F1" w14:textId="77777777" w:rsidR="00762E4A" w:rsidRDefault="00762E4A">
      <w:pPr>
        <w:rPr>
          <w:rFonts w:ascii="Times New Roman" w:hAnsi="Times New Roman"/>
          <w:b/>
          <w:szCs w:val="24"/>
        </w:rPr>
      </w:pPr>
      <w:r>
        <w:rPr>
          <w:rFonts w:ascii="Times New Roman" w:hAnsi="Times New Roman"/>
          <w:szCs w:val="24"/>
        </w:rPr>
        <w:br w:type="page"/>
      </w:r>
    </w:p>
    <w:p w14:paraId="5066AF99" w14:textId="7E4AB2FE" w:rsidR="003A01E5" w:rsidRPr="000E09C2" w:rsidRDefault="005273DA" w:rsidP="00E35E0D">
      <w:pPr>
        <w:pStyle w:val="Heading2"/>
        <w:tabs>
          <w:tab w:val="left" w:pos="720"/>
          <w:tab w:val="left" w:pos="3330"/>
        </w:tabs>
        <w:rPr>
          <w:rFonts w:ascii="Times New Roman" w:hAnsi="Times New Roman"/>
          <w:szCs w:val="24"/>
        </w:rPr>
      </w:pPr>
      <w:r w:rsidRPr="000E09C2">
        <w:rPr>
          <w:rFonts w:ascii="Times New Roman" w:hAnsi="Times New Roman"/>
          <w:szCs w:val="24"/>
        </w:rPr>
        <w:lastRenderedPageBreak/>
        <w:t>Calendar</w:t>
      </w:r>
    </w:p>
    <w:p w14:paraId="0E6B516F" w14:textId="77777777" w:rsidR="003A01E5" w:rsidRPr="000E09C2" w:rsidRDefault="003A01E5" w:rsidP="00B31E56">
      <w:pPr>
        <w:rPr>
          <w:rFonts w:ascii="Times New Roman" w:hAnsi="Times New Roman"/>
          <w:szCs w:val="24"/>
        </w:rPr>
      </w:pPr>
    </w:p>
    <w:p w14:paraId="4665FD73" w14:textId="2D26E99A" w:rsidR="006B6BE4" w:rsidRPr="000E09C2" w:rsidRDefault="008C0D95" w:rsidP="004108F5">
      <w:pPr>
        <w:rPr>
          <w:rFonts w:ascii="Times New Roman" w:eastAsia="Times New Roman" w:hAnsi="Times New Roman"/>
          <w:szCs w:val="24"/>
        </w:rPr>
      </w:pPr>
      <w:r w:rsidRPr="000E09C2">
        <w:rPr>
          <w:rFonts w:ascii="Times New Roman" w:hAnsi="Times New Roman"/>
          <w:szCs w:val="24"/>
        </w:rPr>
        <w:t>1/</w:t>
      </w:r>
      <w:proofErr w:type="gramStart"/>
      <w:r w:rsidRPr="000E09C2">
        <w:rPr>
          <w:rFonts w:ascii="Times New Roman" w:hAnsi="Times New Roman"/>
          <w:szCs w:val="24"/>
        </w:rPr>
        <w:t>21</w:t>
      </w:r>
      <w:r w:rsidR="001108B3" w:rsidRPr="000E09C2">
        <w:rPr>
          <w:rFonts w:ascii="Times New Roman" w:hAnsi="Times New Roman"/>
          <w:szCs w:val="24"/>
        </w:rPr>
        <w:t xml:space="preserve"> </w:t>
      </w:r>
      <w:r w:rsidR="00E35E0D" w:rsidRPr="000E09C2">
        <w:rPr>
          <w:rFonts w:ascii="Times New Roman" w:hAnsi="Times New Roman"/>
          <w:szCs w:val="24"/>
        </w:rPr>
        <w:t xml:space="preserve"> Grotius</w:t>
      </w:r>
      <w:proofErr w:type="gramEnd"/>
      <w:r w:rsidRPr="000E09C2">
        <w:rPr>
          <w:rFonts w:ascii="Times New Roman" w:hAnsi="Times New Roman"/>
          <w:szCs w:val="24"/>
        </w:rPr>
        <w:t>-</w:t>
      </w:r>
      <w:r w:rsidRPr="000E09C2">
        <w:rPr>
          <w:rFonts w:ascii="Times New Roman" w:eastAsia="Times New Roman" w:hAnsi="Times New Roman"/>
          <w:color w:val="222222"/>
          <w:szCs w:val="24"/>
          <w:shd w:val="clear" w:color="auto" w:fill="FFFFFF"/>
        </w:rPr>
        <w:t>Overview, TOC of BKs I-III; Definition of War, BK I, Ch I, Sec 1-2; Private War, BK I, Ch 3, Sec 1-2; Public War, BK I, Ch 3, Sec 4</w:t>
      </w:r>
    </w:p>
    <w:p w14:paraId="3F7A572D" w14:textId="77777777" w:rsidR="006B6BE4" w:rsidRPr="000E09C2" w:rsidRDefault="006B6BE4" w:rsidP="004108F5">
      <w:pPr>
        <w:rPr>
          <w:rFonts w:ascii="Times New Roman" w:hAnsi="Times New Roman"/>
          <w:szCs w:val="24"/>
        </w:rPr>
      </w:pPr>
    </w:p>
    <w:p w14:paraId="7CAADE5A" w14:textId="2956E723" w:rsidR="004108F5" w:rsidRPr="000E09C2" w:rsidRDefault="008C0D95" w:rsidP="004108F5">
      <w:pPr>
        <w:rPr>
          <w:rFonts w:ascii="Times New Roman" w:eastAsia="Times New Roman" w:hAnsi="Times New Roman"/>
          <w:szCs w:val="24"/>
        </w:rPr>
      </w:pPr>
      <w:r w:rsidRPr="000E09C2">
        <w:rPr>
          <w:rFonts w:ascii="Times New Roman" w:hAnsi="Times New Roman"/>
          <w:szCs w:val="24"/>
        </w:rPr>
        <w:t>1/28</w:t>
      </w:r>
      <w:r w:rsidR="00590204" w:rsidRPr="000E09C2">
        <w:rPr>
          <w:rFonts w:ascii="Times New Roman" w:hAnsi="Times New Roman"/>
          <w:szCs w:val="24"/>
        </w:rPr>
        <w:t xml:space="preserve"> </w:t>
      </w:r>
      <w:r w:rsidR="00E35E0D" w:rsidRPr="000E09C2">
        <w:rPr>
          <w:rFonts w:ascii="Times New Roman" w:hAnsi="Times New Roman"/>
          <w:szCs w:val="24"/>
        </w:rPr>
        <w:t>Grotius</w:t>
      </w:r>
      <w:r w:rsidRPr="000E09C2">
        <w:rPr>
          <w:rFonts w:ascii="Times New Roman" w:hAnsi="Times New Roman"/>
          <w:szCs w:val="24"/>
        </w:rPr>
        <w:t>-</w:t>
      </w:r>
      <w:r w:rsidRPr="000E09C2">
        <w:rPr>
          <w:rFonts w:ascii="Times New Roman" w:eastAsia="Times New Roman" w:hAnsi="Times New Roman"/>
          <w:color w:val="222222"/>
          <w:szCs w:val="24"/>
          <w:shd w:val="clear" w:color="auto" w:fill="FFFFFF"/>
        </w:rPr>
        <w:t>Right to War (Defense of Self and Property), BK II, Ch 1; Unjust Causes of War, BK II, Ch 22</w:t>
      </w:r>
    </w:p>
    <w:p w14:paraId="42212119" w14:textId="77777777" w:rsidR="004108F5" w:rsidRPr="000E09C2" w:rsidRDefault="004108F5" w:rsidP="004108F5">
      <w:pPr>
        <w:rPr>
          <w:rFonts w:ascii="Times New Roman" w:hAnsi="Times New Roman"/>
          <w:szCs w:val="24"/>
        </w:rPr>
      </w:pPr>
    </w:p>
    <w:p w14:paraId="0BFFA669" w14:textId="61768A81" w:rsidR="004108F5" w:rsidRPr="000E09C2" w:rsidRDefault="008C0D95" w:rsidP="004108F5">
      <w:pPr>
        <w:rPr>
          <w:rFonts w:ascii="Times New Roman" w:eastAsia="Times New Roman" w:hAnsi="Times New Roman"/>
          <w:szCs w:val="24"/>
        </w:rPr>
      </w:pPr>
      <w:r w:rsidRPr="000E09C2">
        <w:rPr>
          <w:rFonts w:ascii="Times New Roman" w:hAnsi="Times New Roman"/>
          <w:szCs w:val="24"/>
        </w:rPr>
        <w:t>2/4</w:t>
      </w:r>
      <w:r w:rsidR="00590204" w:rsidRPr="000E09C2">
        <w:rPr>
          <w:rFonts w:ascii="Times New Roman" w:hAnsi="Times New Roman"/>
          <w:szCs w:val="24"/>
        </w:rPr>
        <w:t xml:space="preserve"> </w:t>
      </w:r>
      <w:r w:rsidR="00E35E0D" w:rsidRPr="000E09C2">
        <w:rPr>
          <w:rFonts w:ascii="Times New Roman" w:hAnsi="Times New Roman"/>
          <w:szCs w:val="24"/>
        </w:rPr>
        <w:t>Grotius</w:t>
      </w:r>
      <w:r w:rsidRPr="000E09C2">
        <w:rPr>
          <w:rFonts w:ascii="Times New Roman" w:hAnsi="Times New Roman"/>
          <w:szCs w:val="24"/>
        </w:rPr>
        <w:t>-</w:t>
      </w:r>
      <w:r w:rsidRPr="000E09C2">
        <w:rPr>
          <w:rFonts w:ascii="Times New Roman" w:eastAsia="Times New Roman" w:hAnsi="Times New Roman"/>
          <w:color w:val="222222"/>
          <w:szCs w:val="24"/>
          <w:shd w:val="clear" w:color="auto" w:fill="FFFFFF"/>
        </w:rPr>
        <w:t>Sociability and Right, Prolegomena and BK I, Ch I, Sec 3-; Richard Tuck, Chapter 3 of </w:t>
      </w:r>
      <w:r w:rsidRPr="000E09C2">
        <w:rPr>
          <w:rFonts w:ascii="Times New Roman" w:eastAsia="Times New Roman" w:hAnsi="Times New Roman"/>
          <w:i/>
          <w:iCs/>
          <w:color w:val="222222"/>
          <w:szCs w:val="24"/>
          <w:shd w:val="clear" w:color="auto" w:fill="FFFFFF"/>
        </w:rPr>
        <w:t>Rights of War and Peace</w:t>
      </w:r>
    </w:p>
    <w:p w14:paraId="2E307A8B" w14:textId="77777777" w:rsidR="00E35E0D" w:rsidRPr="000E09C2" w:rsidRDefault="00E35E0D" w:rsidP="004108F5">
      <w:pPr>
        <w:rPr>
          <w:rFonts w:ascii="Times New Roman" w:hAnsi="Times New Roman"/>
          <w:szCs w:val="24"/>
        </w:rPr>
      </w:pPr>
    </w:p>
    <w:p w14:paraId="6A949720" w14:textId="6175B9ED" w:rsidR="008C0D95" w:rsidRPr="000E09C2" w:rsidRDefault="008C0D95" w:rsidP="008C0D95">
      <w:pPr>
        <w:rPr>
          <w:rFonts w:ascii="Times New Roman" w:eastAsia="Times New Roman" w:hAnsi="Times New Roman"/>
          <w:szCs w:val="24"/>
        </w:rPr>
      </w:pPr>
      <w:r w:rsidRPr="000E09C2">
        <w:rPr>
          <w:rFonts w:ascii="Times New Roman" w:hAnsi="Times New Roman"/>
          <w:szCs w:val="24"/>
        </w:rPr>
        <w:t>2/11</w:t>
      </w:r>
      <w:r w:rsidR="00692C23">
        <w:rPr>
          <w:rFonts w:ascii="Times New Roman" w:hAnsi="Times New Roman"/>
          <w:szCs w:val="24"/>
        </w:rPr>
        <w:t xml:space="preserve"> </w:t>
      </w:r>
      <w:r w:rsidR="00E35E0D" w:rsidRPr="000E09C2">
        <w:rPr>
          <w:rFonts w:ascii="Times New Roman" w:hAnsi="Times New Roman"/>
          <w:szCs w:val="24"/>
        </w:rPr>
        <w:t>Grotius</w:t>
      </w:r>
      <w:r w:rsidRPr="000E09C2">
        <w:rPr>
          <w:rFonts w:ascii="Times New Roman" w:hAnsi="Times New Roman"/>
          <w:szCs w:val="24"/>
        </w:rPr>
        <w:t>-</w:t>
      </w:r>
      <w:r w:rsidRPr="000E09C2">
        <w:rPr>
          <w:rFonts w:ascii="Times New Roman" w:eastAsia="Times New Roman" w:hAnsi="Times New Roman"/>
          <w:color w:val="222222"/>
          <w:szCs w:val="24"/>
          <w:shd w:val="clear" w:color="auto" w:fill="FFFFFF"/>
        </w:rPr>
        <w:t>Right in War, BK III, Ch 1, Sec 1-4; BK III, Ch 3, Sec 1-5, Sec 11-12; BK III, Ch 4</w:t>
      </w:r>
    </w:p>
    <w:p w14:paraId="2EC77F1E" w14:textId="77777777" w:rsidR="004108F5" w:rsidRPr="000E09C2" w:rsidRDefault="004108F5" w:rsidP="004108F5">
      <w:pPr>
        <w:rPr>
          <w:rFonts w:ascii="Times New Roman" w:hAnsi="Times New Roman"/>
          <w:szCs w:val="24"/>
        </w:rPr>
      </w:pPr>
    </w:p>
    <w:p w14:paraId="366475D2" w14:textId="38FD3440" w:rsidR="004108F5" w:rsidRPr="000E09C2" w:rsidRDefault="008C0D95" w:rsidP="004108F5">
      <w:pPr>
        <w:rPr>
          <w:rFonts w:ascii="Times New Roman" w:hAnsi="Times New Roman"/>
          <w:szCs w:val="24"/>
        </w:rPr>
      </w:pPr>
      <w:r w:rsidRPr="000E09C2">
        <w:rPr>
          <w:rFonts w:ascii="Times New Roman" w:hAnsi="Times New Roman"/>
          <w:szCs w:val="24"/>
        </w:rPr>
        <w:t>2/18</w:t>
      </w:r>
      <w:r w:rsidR="00590204" w:rsidRPr="000E09C2">
        <w:rPr>
          <w:rFonts w:ascii="Times New Roman" w:hAnsi="Times New Roman"/>
          <w:szCs w:val="24"/>
        </w:rPr>
        <w:t xml:space="preserve"> </w:t>
      </w:r>
      <w:r w:rsidR="00E35E0D" w:rsidRPr="000E09C2">
        <w:rPr>
          <w:rFonts w:ascii="Times New Roman" w:hAnsi="Times New Roman"/>
          <w:szCs w:val="24"/>
        </w:rPr>
        <w:t>Interlude: Pufendorf</w:t>
      </w:r>
      <w:proofErr w:type="gramStart"/>
      <w:r w:rsidR="008E1818">
        <w:rPr>
          <w:rFonts w:ascii="Times New Roman" w:hAnsi="Times New Roman"/>
          <w:szCs w:val="24"/>
        </w:rPr>
        <w:t>-(</w:t>
      </w:r>
      <w:proofErr w:type="gramEnd"/>
      <w:r w:rsidR="008E1818">
        <w:rPr>
          <w:rFonts w:ascii="Times New Roman" w:hAnsi="Times New Roman"/>
          <w:szCs w:val="24"/>
        </w:rPr>
        <w:t>collected on Classes *v2 server as Pufendorf I, II, and III) (Law of Nature and Nation</w:t>
      </w:r>
      <w:r w:rsidR="00B63DDE">
        <w:rPr>
          <w:rFonts w:ascii="Times New Roman" w:hAnsi="Times New Roman"/>
          <w:szCs w:val="24"/>
        </w:rPr>
        <w:t>s, pp. 1</w:t>
      </w:r>
      <w:r w:rsidR="00982039">
        <w:rPr>
          <w:rFonts w:ascii="Times New Roman" w:hAnsi="Times New Roman"/>
          <w:szCs w:val="24"/>
        </w:rPr>
        <w:t xml:space="preserve">-9, </w:t>
      </w:r>
      <w:r w:rsidR="00B63DDE">
        <w:rPr>
          <w:rFonts w:ascii="Times New Roman" w:hAnsi="Times New Roman"/>
          <w:szCs w:val="24"/>
        </w:rPr>
        <w:t>1</w:t>
      </w:r>
      <w:r w:rsidR="00982039">
        <w:rPr>
          <w:rFonts w:ascii="Times New Roman" w:hAnsi="Times New Roman"/>
          <w:szCs w:val="24"/>
        </w:rPr>
        <w:t>8</w:t>
      </w:r>
      <w:bookmarkStart w:id="0" w:name="_GoBack"/>
      <w:bookmarkEnd w:id="0"/>
      <w:r w:rsidR="00B63DDE">
        <w:rPr>
          <w:rFonts w:ascii="Times New Roman" w:hAnsi="Times New Roman"/>
          <w:szCs w:val="24"/>
        </w:rPr>
        <w:t xml:space="preserve">-31, 56, 66-71, 87-112, </w:t>
      </w:r>
      <w:r w:rsidR="008E1818">
        <w:rPr>
          <w:rFonts w:ascii="Times New Roman" w:hAnsi="Times New Roman"/>
          <w:szCs w:val="24"/>
        </w:rPr>
        <w:t>207-210, 330-336, 390-401, 825-826, 949-966, 1160-1162)</w:t>
      </w:r>
    </w:p>
    <w:p w14:paraId="14D9F46D" w14:textId="77777777" w:rsidR="00E35E0D" w:rsidRPr="000E09C2" w:rsidRDefault="00E35E0D" w:rsidP="004108F5">
      <w:pPr>
        <w:rPr>
          <w:rFonts w:ascii="Times New Roman" w:hAnsi="Times New Roman"/>
          <w:szCs w:val="24"/>
        </w:rPr>
      </w:pPr>
    </w:p>
    <w:p w14:paraId="4708BD8C" w14:textId="70CA407E" w:rsidR="004108F5" w:rsidRPr="000E09C2" w:rsidRDefault="008C0D95" w:rsidP="004108F5">
      <w:pPr>
        <w:rPr>
          <w:rFonts w:ascii="Times New Roman" w:hAnsi="Times New Roman"/>
          <w:szCs w:val="24"/>
        </w:rPr>
      </w:pPr>
      <w:r w:rsidRPr="000E09C2">
        <w:rPr>
          <w:rFonts w:ascii="Times New Roman" w:hAnsi="Times New Roman"/>
          <w:szCs w:val="24"/>
        </w:rPr>
        <w:t>2/25</w:t>
      </w:r>
      <w:r w:rsidR="00590204" w:rsidRPr="000E09C2">
        <w:rPr>
          <w:rFonts w:ascii="Times New Roman" w:hAnsi="Times New Roman"/>
          <w:szCs w:val="24"/>
        </w:rPr>
        <w:t xml:space="preserve"> </w:t>
      </w:r>
      <w:r w:rsidR="00E35E0D" w:rsidRPr="000E09C2">
        <w:rPr>
          <w:rFonts w:ascii="Times New Roman" w:hAnsi="Times New Roman"/>
          <w:szCs w:val="24"/>
        </w:rPr>
        <w:t>Locke</w:t>
      </w:r>
      <w:r w:rsidR="00224FFD" w:rsidRPr="000E09C2">
        <w:rPr>
          <w:rFonts w:ascii="Times New Roman" w:hAnsi="Times New Roman"/>
          <w:szCs w:val="24"/>
        </w:rPr>
        <w:t xml:space="preserve">-Personal Identity (Essay </w:t>
      </w:r>
      <w:proofErr w:type="spellStart"/>
      <w:r w:rsidR="00224FFD" w:rsidRPr="000E09C2">
        <w:rPr>
          <w:rFonts w:ascii="Times New Roman" w:hAnsi="Times New Roman"/>
          <w:szCs w:val="24"/>
        </w:rPr>
        <w:t>II.xxvii</w:t>
      </w:r>
      <w:proofErr w:type="spellEnd"/>
      <w:r w:rsidR="00224FFD" w:rsidRPr="000E09C2">
        <w:rPr>
          <w:rFonts w:ascii="Times New Roman" w:hAnsi="Times New Roman"/>
          <w:szCs w:val="24"/>
        </w:rPr>
        <w:t>) &amp; the Demonstrability of Morality (Essay IV.iii.18-20</w:t>
      </w:r>
      <w:r w:rsidR="00196898" w:rsidRPr="000E09C2">
        <w:rPr>
          <w:rFonts w:ascii="Times New Roman" w:hAnsi="Times New Roman"/>
          <w:szCs w:val="24"/>
        </w:rPr>
        <w:t xml:space="preserve"> &amp; additional isolated sections</w:t>
      </w:r>
      <w:r w:rsidR="00224FFD" w:rsidRPr="000E09C2">
        <w:rPr>
          <w:rFonts w:ascii="Times New Roman" w:hAnsi="Times New Roman"/>
          <w:szCs w:val="24"/>
        </w:rPr>
        <w:t>)</w:t>
      </w:r>
    </w:p>
    <w:p w14:paraId="355C8FE8" w14:textId="77777777" w:rsidR="004108F5" w:rsidRPr="000E09C2" w:rsidRDefault="004108F5" w:rsidP="004108F5">
      <w:pPr>
        <w:rPr>
          <w:rFonts w:ascii="Times New Roman" w:hAnsi="Times New Roman"/>
          <w:szCs w:val="24"/>
        </w:rPr>
      </w:pPr>
    </w:p>
    <w:p w14:paraId="3B098E46" w14:textId="4E1189FB" w:rsidR="004108F5" w:rsidRPr="000E09C2" w:rsidRDefault="008C0D95" w:rsidP="004108F5">
      <w:pPr>
        <w:rPr>
          <w:rFonts w:ascii="Times New Roman" w:hAnsi="Times New Roman"/>
          <w:szCs w:val="24"/>
          <w:lang w:eastAsia="ja-JP"/>
        </w:rPr>
      </w:pPr>
      <w:r w:rsidRPr="000E09C2">
        <w:rPr>
          <w:rFonts w:ascii="Times New Roman" w:hAnsi="Times New Roman"/>
          <w:szCs w:val="24"/>
        </w:rPr>
        <w:t>3/4</w:t>
      </w:r>
      <w:r w:rsidR="00590204" w:rsidRPr="000E09C2">
        <w:rPr>
          <w:rFonts w:ascii="Times New Roman" w:hAnsi="Times New Roman"/>
          <w:szCs w:val="24"/>
        </w:rPr>
        <w:t xml:space="preserve"> </w:t>
      </w:r>
      <w:r w:rsidR="00E35E0D" w:rsidRPr="000E09C2">
        <w:rPr>
          <w:rFonts w:ascii="Times New Roman" w:hAnsi="Times New Roman"/>
          <w:szCs w:val="24"/>
          <w:lang w:eastAsia="ja-JP"/>
        </w:rPr>
        <w:t>Locke</w:t>
      </w:r>
      <w:r w:rsidR="00224FFD" w:rsidRPr="000E09C2">
        <w:rPr>
          <w:rFonts w:ascii="Times New Roman" w:hAnsi="Times New Roman"/>
          <w:szCs w:val="24"/>
          <w:lang w:eastAsia="ja-JP"/>
        </w:rPr>
        <w:t xml:space="preserve">-Freedom of action and will (Essay </w:t>
      </w:r>
      <w:proofErr w:type="spellStart"/>
      <w:r w:rsidR="00224FFD" w:rsidRPr="000E09C2">
        <w:rPr>
          <w:rFonts w:ascii="Times New Roman" w:hAnsi="Times New Roman"/>
          <w:szCs w:val="24"/>
          <w:lang w:eastAsia="ja-JP"/>
        </w:rPr>
        <w:t>II.xxi</w:t>
      </w:r>
      <w:proofErr w:type="spellEnd"/>
      <w:r w:rsidR="00224FFD" w:rsidRPr="000E09C2">
        <w:rPr>
          <w:rFonts w:ascii="Times New Roman" w:hAnsi="Times New Roman"/>
          <w:szCs w:val="24"/>
          <w:lang w:eastAsia="ja-JP"/>
        </w:rPr>
        <w:t>)</w:t>
      </w:r>
    </w:p>
    <w:p w14:paraId="0882A97B" w14:textId="77777777" w:rsidR="00E35E0D" w:rsidRPr="000E09C2" w:rsidRDefault="00E35E0D" w:rsidP="004108F5">
      <w:pPr>
        <w:rPr>
          <w:rFonts w:ascii="Times New Roman" w:hAnsi="Times New Roman"/>
          <w:szCs w:val="24"/>
        </w:rPr>
      </w:pPr>
    </w:p>
    <w:p w14:paraId="78A3E8D8" w14:textId="22823F7B" w:rsidR="004108F5" w:rsidRPr="000E09C2" w:rsidRDefault="008C0D95" w:rsidP="004108F5">
      <w:pPr>
        <w:rPr>
          <w:rFonts w:ascii="Times New Roman" w:hAnsi="Times New Roman"/>
          <w:szCs w:val="24"/>
        </w:rPr>
      </w:pPr>
      <w:r w:rsidRPr="000E09C2">
        <w:rPr>
          <w:rFonts w:ascii="Times New Roman" w:hAnsi="Times New Roman"/>
          <w:szCs w:val="24"/>
        </w:rPr>
        <w:t>3/11 &amp; 3/18</w:t>
      </w:r>
      <w:r w:rsidR="00590204" w:rsidRPr="000E09C2">
        <w:rPr>
          <w:rFonts w:ascii="Times New Roman" w:hAnsi="Times New Roman"/>
          <w:szCs w:val="24"/>
        </w:rPr>
        <w:t xml:space="preserve"> </w:t>
      </w:r>
      <w:r w:rsidR="00E35E0D" w:rsidRPr="000E09C2">
        <w:rPr>
          <w:rFonts w:ascii="Times New Roman" w:hAnsi="Times New Roman"/>
          <w:szCs w:val="24"/>
        </w:rPr>
        <w:t>No Class-Spring Break</w:t>
      </w:r>
    </w:p>
    <w:p w14:paraId="76B3386C" w14:textId="77777777" w:rsidR="00E35E0D" w:rsidRPr="000E09C2" w:rsidRDefault="00E35E0D" w:rsidP="004108F5">
      <w:pPr>
        <w:rPr>
          <w:rFonts w:ascii="Times New Roman" w:hAnsi="Times New Roman"/>
          <w:szCs w:val="24"/>
        </w:rPr>
      </w:pPr>
    </w:p>
    <w:p w14:paraId="4C0A29DB" w14:textId="5873ADB3" w:rsidR="004108F5" w:rsidRPr="000E09C2" w:rsidRDefault="008C0D95" w:rsidP="004108F5">
      <w:pPr>
        <w:rPr>
          <w:rFonts w:ascii="Times New Roman" w:hAnsi="Times New Roman"/>
          <w:szCs w:val="24"/>
        </w:rPr>
      </w:pPr>
      <w:r w:rsidRPr="000E09C2">
        <w:rPr>
          <w:rFonts w:ascii="Times New Roman" w:hAnsi="Times New Roman"/>
          <w:szCs w:val="24"/>
        </w:rPr>
        <w:t>3/25</w:t>
      </w:r>
      <w:r w:rsidR="00E35E0D" w:rsidRPr="000E09C2">
        <w:rPr>
          <w:rFonts w:ascii="Times New Roman" w:hAnsi="Times New Roman"/>
          <w:szCs w:val="24"/>
        </w:rPr>
        <w:t xml:space="preserve"> Locke-Second Treatise</w:t>
      </w:r>
      <w:r w:rsidR="00196898" w:rsidRPr="000E09C2">
        <w:rPr>
          <w:rFonts w:ascii="Times New Roman" w:hAnsi="Times New Roman"/>
          <w:szCs w:val="24"/>
        </w:rPr>
        <w:t xml:space="preserve"> (</w:t>
      </w:r>
      <w:proofErr w:type="spellStart"/>
      <w:r w:rsidR="00196898" w:rsidRPr="000E09C2">
        <w:rPr>
          <w:rFonts w:ascii="Times New Roman" w:hAnsi="Times New Roman"/>
          <w:szCs w:val="24"/>
        </w:rPr>
        <w:t>focussing</w:t>
      </w:r>
      <w:proofErr w:type="spellEnd"/>
      <w:r w:rsidR="00196898" w:rsidRPr="000E09C2">
        <w:rPr>
          <w:rFonts w:ascii="Times New Roman" w:hAnsi="Times New Roman"/>
          <w:szCs w:val="24"/>
        </w:rPr>
        <w:t xml:space="preserve"> on chs 1-3, 7-9, 11, 16-19)</w:t>
      </w:r>
    </w:p>
    <w:p w14:paraId="3CF48E26" w14:textId="77777777" w:rsidR="004108F5" w:rsidRPr="000E09C2" w:rsidRDefault="004108F5" w:rsidP="004108F5">
      <w:pPr>
        <w:rPr>
          <w:rFonts w:ascii="Times New Roman" w:hAnsi="Times New Roman"/>
          <w:szCs w:val="24"/>
        </w:rPr>
      </w:pPr>
    </w:p>
    <w:p w14:paraId="0CFE2E9C" w14:textId="4B96C5B2" w:rsidR="004108F5" w:rsidRPr="000E09C2" w:rsidRDefault="008C0D95" w:rsidP="004108F5">
      <w:pPr>
        <w:rPr>
          <w:rFonts w:ascii="Times New Roman" w:hAnsi="Times New Roman"/>
          <w:szCs w:val="24"/>
          <w:lang w:eastAsia="ja-JP"/>
        </w:rPr>
      </w:pPr>
      <w:r w:rsidRPr="000E09C2">
        <w:rPr>
          <w:rFonts w:ascii="Times New Roman" w:hAnsi="Times New Roman"/>
          <w:szCs w:val="24"/>
        </w:rPr>
        <w:t>4/1</w:t>
      </w:r>
      <w:r w:rsidR="004108F5" w:rsidRPr="000E09C2">
        <w:rPr>
          <w:rFonts w:ascii="Times New Roman" w:hAnsi="Times New Roman"/>
          <w:szCs w:val="24"/>
        </w:rPr>
        <w:t xml:space="preserve"> </w:t>
      </w:r>
      <w:r w:rsidR="00E35E0D" w:rsidRPr="000E09C2">
        <w:rPr>
          <w:rFonts w:ascii="Times New Roman" w:hAnsi="Times New Roman"/>
          <w:szCs w:val="24"/>
        </w:rPr>
        <w:t>Locke-Second Treatise</w:t>
      </w:r>
      <w:r w:rsidR="00196898" w:rsidRPr="000E09C2">
        <w:rPr>
          <w:rFonts w:ascii="Times New Roman" w:hAnsi="Times New Roman"/>
          <w:szCs w:val="24"/>
        </w:rPr>
        <w:t xml:space="preserve"> (</w:t>
      </w:r>
      <w:proofErr w:type="spellStart"/>
      <w:r w:rsidR="00196898" w:rsidRPr="000E09C2">
        <w:rPr>
          <w:rFonts w:ascii="Times New Roman" w:hAnsi="Times New Roman"/>
          <w:szCs w:val="24"/>
        </w:rPr>
        <w:t>focussing</w:t>
      </w:r>
      <w:proofErr w:type="spellEnd"/>
      <w:r w:rsidR="00196898" w:rsidRPr="000E09C2">
        <w:rPr>
          <w:rFonts w:ascii="Times New Roman" w:hAnsi="Times New Roman"/>
          <w:szCs w:val="24"/>
        </w:rPr>
        <w:t xml:space="preserve"> on chs 4-6, 15)</w:t>
      </w:r>
    </w:p>
    <w:p w14:paraId="27B2BE20" w14:textId="77777777" w:rsidR="00E35E0D" w:rsidRPr="000E09C2" w:rsidRDefault="00E35E0D" w:rsidP="004108F5">
      <w:pPr>
        <w:rPr>
          <w:rFonts w:ascii="Times New Roman" w:hAnsi="Times New Roman"/>
          <w:szCs w:val="24"/>
        </w:rPr>
      </w:pPr>
    </w:p>
    <w:p w14:paraId="0E4ED23E" w14:textId="1703E28C" w:rsidR="004108F5" w:rsidRPr="000E09C2" w:rsidRDefault="008C0D95" w:rsidP="004108F5">
      <w:pPr>
        <w:rPr>
          <w:rFonts w:ascii="Times New Roman" w:hAnsi="Times New Roman"/>
          <w:szCs w:val="24"/>
        </w:rPr>
      </w:pPr>
      <w:r w:rsidRPr="000E09C2">
        <w:rPr>
          <w:rFonts w:ascii="Times New Roman" w:hAnsi="Times New Roman"/>
          <w:szCs w:val="24"/>
        </w:rPr>
        <w:t>4/8</w:t>
      </w:r>
      <w:r w:rsidR="00E35E0D" w:rsidRPr="000E09C2">
        <w:rPr>
          <w:rFonts w:ascii="Times New Roman" w:hAnsi="Times New Roman"/>
          <w:szCs w:val="24"/>
          <w:lang w:eastAsia="ja-JP"/>
        </w:rPr>
        <w:t xml:space="preserve"> Kant</w:t>
      </w:r>
      <w:r w:rsidR="00195CBD">
        <w:rPr>
          <w:rFonts w:ascii="Times New Roman" w:hAnsi="Times New Roman"/>
          <w:szCs w:val="24"/>
          <w:lang w:eastAsia="ja-JP"/>
        </w:rPr>
        <w:t>-Metaphysics of Morals (Intro 6:214-620), Doctrine of Right (6:229-242)</w:t>
      </w:r>
    </w:p>
    <w:p w14:paraId="00E45783" w14:textId="77777777" w:rsidR="004108F5" w:rsidRPr="000E09C2" w:rsidRDefault="004108F5" w:rsidP="004108F5">
      <w:pPr>
        <w:rPr>
          <w:rFonts w:ascii="Times New Roman" w:hAnsi="Times New Roman"/>
          <w:szCs w:val="24"/>
        </w:rPr>
      </w:pPr>
    </w:p>
    <w:p w14:paraId="52FDFEE7" w14:textId="60A96B29" w:rsidR="004108F5" w:rsidRPr="000E09C2" w:rsidRDefault="008C0D95" w:rsidP="004108F5">
      <w:pPr>
        <w:rPr>
          <w:rFonts w:ascii="Times New Roman" w:hAnsi="Times New Roman"/>
          <w:szCs w:val="24"/>
        </w:rPr>
      </w:pPr>
      <w:r w:rsidRPr="000E09C2">
        <w:rPr>
          <w:rFonts w:ascii="Times New Roman" w:hAnsi="Times New Roman"/>
          <w:szCs w:val="24"/>
        </w:rPr>
        <w:t>4/15</w:t>
      </w:r>
      <w:r w:rsidR="00E35E0D" w:rsidRPr="000E09C2">
        <w:rPr>
          <w:rFonts w:ascii="Times New Roman" w:hAnsi="Times New Roman"/>
          <w:szCs w:val="24"/>
        </w:rPr>
        <w:t xml:space="preserve"> Kant</w:t>
      </w:r>
      <w:r w:rsidR="00195CBD">
        <w:rPr>
          <w:rFonts w:ascii="Times New Roman" w:hAnsi="Times New Roman"/>
          <w:szCs w:val="24"/>
        </w:rPr>
        <w:t>-Doctrine of Right (</w:t>
      </w:r>
      <w:r w:rsidR="006300C3">
        <w:rPr>
          <w:rFonts w:ascii="Times New Roman" w:hAnsi="Times New Roman"/>
          <w:szCs w:val="24"/>
        </w:rPr>
        <w:t>6:245-308)</w:t>
      </w:r>
    </w:p>
    <w:p w14:paraId="21E87C80" w14:textId="77777777" w:rsidR="00E35E0D" w:rsidRPr="000E09C2" w:rsidRDefault="00E35E0D" w:rsidP="004108F5">
      <w:pPr>
        <w:rPr>
          <w:rFonts w:ascii="Times New Roman" w:hAnsi="Times New Roman"/>
          <w:szCs w:val="24"/>
        </w:rPr>
      </w:pPr>
    </w:p>
    <w:p w14:paraId="05CF6871" w14:textId="53920956" w:rsidR="005273DA" w:rsidRPr="000E09C2" w:rsidRDefault="008C0D95" w:rsidP="003A01E5">
      <w:pPr>
        <w:rPr>
          <w:rFonts w:ascii="Times New Roman" w:hAnsi="Times New Roman"/>
          <w:szCs w:val="24"/>
        </w:rPr>
      </w:pPr>
      <w:r w:rsidRPr="000E09C2">
        <w:rPr>
          <w:rFonts w:ascii="Times New Roman" w:hAnsi="Times New Roman"/>
          <w:szCs w:val="24"/>
        </w:rPr>
        <w:t>4/22</w:t>
      </w:r>
      <w:r w:rsidR="00F9373D" w:rsidRPr="000E09C2">
        <w:rPr>
          <w:rFonts w:ascii="Times New Roman" w:hAnsi="Times New Roman"/>
          <w:szCs w:val="24"/>
        </w:rPr>
        <w:t xml:space="preserve"> Kant</w:t>
      </w:r>
      <w:r w:rsidR="006300C3">
        <w:rPr>
          <w:rFonts w:ascii="Times New Roman" w:hAnsi="Times New Roman"/>
          <w:szCs w:val="24"/>
        </w:rPr>
        <w:t>-Doctrine of Right (6:311-372)</w:t>
      </w:r>
    </w:p>
    <w:sectPr w:rsidR="005273DA" w:rsidRPr="000E09C2" w:rsidSect="00196898">
      <w:pgSz w:w="12240" w:h="15840"/>
      <w:pgMar w:top="1080" w:right="1440" w:bottom="864" w:left="1440" w:header="720"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DD"/>
    <w:rsid w:val="00010B56"/>
    <w:rsid w:val="00035B47"/>
    <w:rsid w:val="00050FF0"/>
    <w:rsid w:val="000E09C2"/>
    <w:rsid w:val="001108B3"/>
    <w:rsid w:val="00112580"/>
    <w:rsid w:val="0011284C"/>
    <w:rsid w:val="00117311"/>
    <w:rsid w:val="00124F68"/>
    <w:rsid w:val="001659D2"/>
    <w:rsid w:val="00182B0E"/>
    <w:rsid w:val="00195CBD"/>
    <w:rsid w:val="00196898"/>
    <w:rsid w:val="00210B0C"/>
    <w:rsid w:val="0021194D"/>
    <w:rsid w:val="00224FFD"/>
    <w:rsid w:val="002429AE"/>
    <w:rsid w:val="002847DD"/>
    <w:rsid w:val="00296A2F"/>
    <w:rsid w:val="002C3905"/>
    <w:rsid w:val="002E4FE9"/>
    <w:rsid w:val="002E6045"/>
    <w:rsid w:val="002F04C7"/>
    <w:rsid w:val="00306B42"/>
    <w:rsid w:val="00347305"/>
    <w:rsid w:val="00350310"/>
    <w:rsid w:val="00354CB2"/>
    <w:rsid w:val="00376BB0"/>
    <w:rsid w:val="00382EE0"/>
    <w:rsid w:val="003A01E5"/>
    <w:rsid w:val="003A492D"/>
    <w:rsid w:val="003E2DDF"/>
    <w:rsid w:val="003F4288"/>
    <w:rsid w:val="004108F5"/>
    <w:rsid w:val="00412206"/>
    <w:rsid w:val="00482643"/>
    <w:rsid w:val="00494AA1"/>
    <w:rsid w:val="004D41B4"/>
    <w:rsid w:val="00521AB1"/>
    <w:rsid w:val="005273DA"/>
    <w:rsid w:val="00590204"/>
    <w:rsid w:val="005A7E23"/>
    <w:rsid w:val="005B419C"/>
    <w:rsid w:val="005B6D21"/>
    <w:rsid w:val="005D2623"/>
    <w:rsid w:val="005D4978"/>
    <w:rsid w:val="006300C3"/>
    <w:rsid w:val="00670805"/>
    <w:rsid w:val="00692834"/>
    <w:rsid w:val="00692C23"/>
    <w:rsid w:val="006B5A3D"/>
    <w:rsid w:val="006B6A20"/>
    <w:rsid w:val="006B6BE4"/>
    <w:rsid w:val="006D1ADA"/>
    <w:rsid w:val="006E11DD"/>
    <w:rsid w:val="00716E35"/>
    <w:rsid w:val="00734FA2"/>
    <w:rsid w:val="0074470D"/>
    <w:rsid w:val="0076111F"/>
    <w:rsid w:val="00762E4A"/>
    <w:rsid w:val="00764B19"/>
    <w:rsid w:val="00787BD5"/>
    <w:rsid w:val="00795900"/>
    <w:rsid w:val="007A496A"/>
    <w:rsid w:val="007C4E82"/>
    <w:rsid w:val="007D4123"/>
    <w:rsid w:val="007E1B6B"/>
    <w:rsid w:val="008202D2"/>
    <w:rsid w:val="00887AD3"/>
    <w:rsid w:val="008A744B"/>
    <w:rsid w:val="008B5228"/>
    <w:rsid w:val="008B7545"/>
    <w:rsid w:val="008C0D95"/>
    <w:rsid w:val="008E1818"/>
    <w:rsid w:val="00920E2A"/>
    <w:rsid w:val="00926FCB"/>
    <w:rsid w:val="0095005C"/>
    <w:rsid w:val="00956E4F"/>
    <w:rsid w:val="00982039"/>
    <w:rsid w:val="0098742B"/>
    <w:rsid w:val="009B744E"/>
    <w:rsid w:val="009E0C85"/>
    <w:rsid w:val="009E71D5"/>
    <w:rsid w:val="009F5D66"/>
    <w:rsid w:val="00A038C0"/>
    <w:rsid w:val="00A15638"/>
    <w:rsid w:val="00A7652C"/>
    <w:rsid w:val="00A83EC3"/>
    <w:rsid w:val="00AA5880"/>
    <w:rsid w:val="00AB1558"/>
    <w:rsid w:val="00AC2B7A"/>
    <w:rsid w:val="00AE1E0D"/>
    <w:rsid w:val="00B01B57"/>
    <w:rsid w:val="00B31E56"/>
    <w:rsid w:val="00B63DDE"/>
    <w:rsid w:val="00B73136"/>
    <w:rsid w:val="00B744EB"/>
    <w:rsid w:val="00B85794"/>
    <w:rsid w:val="00BA5E06"/>
    <w:rsid w:val="00BC621C"/>
    <w:rsid w:val="00BE3AE7"/>
    <w:rsid w:val="00C209F5"/>
    <w:rsid w:val="00C42A2C"/>
    <w:rsid w:val="00C8007C"/>
    <w:rsid w:val="00CB2F7C"/>
    <w:rsid w:val="00CC4E53"/>
    <w:rsid w:val="00D07393"/>
    <w:rsid w:val="00D23593"/>
    <w:rsid w:val="00D870AD"/>
    <w:rsid w:val="00DA12E0"/>
    <w:rsid w:val="00DB2717"/>
    <w:rsid w:val="00DF46D9"/>
    <w:rsid w:val="00E00564"/>
    <w:rsid w:val="00E14A53"/>
    <w:rsid w:val="00E35E0D"/>
    <w:rsid w:val="00E47818"/>
    <w:rsid w:val="00E50F2B"/>
    <w:rsid w:val="00F51247"/>
    <w:rsid w:val="00F57D8D"/>
    <w:rsid w:val="00F8574E"/>
    <w:rsid w:val="00F9373D"/>
    <w:rsid w:val="00F93B01"/>
    <w:rsid w:val="00FA3655"/>
    <w:rsid w:val="00FC3B6D"/>
    <w:rsid w:val="00FD7506"/>
    <w:rsid w:val="00FF1A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D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4B"/>
    <w:rPr>
      <w:rFonts w:ascii="Palatino" w:hAnsi="Palatino"/>
      <w:sz w:val="24"/>
    </w:rPr>
  </w:style>
  <w:style w:type="paragraph" w:styleId="Heading1">
    <w:name w:val="heading 1"/>
    <w:basedOn w:val="Normal"/>
    <w:next w:val="Normal"/>
    <w:qFormat/>
    <w:rsid w:val="008A744B"/>
    <w:pPr>
      <w:keepNext/>
      <w:outlineLvl w:val="0"/>
    </w:pPr>
    <w:rPr>
      <w:u w:val="single"/>
    </w:rPr>
  </w:style>
  <w:style w:type="paragraph" w:styleId="Heading2">
    <w:name w:val="heading 2"/>
    <w:basedOn w:val="Normal"/>
    <w:next w:val="Normal"/>
    <w:qFormat/>
    <w:rsid w:val="008A744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44B"/>
    <w:pPr>
      <w:tabs>
        <w:tab w:val="left" w:pos="720"/>
        <w:tab w:val="left" w:pos="3330"/>
      </w:tabs>
      <w:jc w:val="center"/>
    </w:pPr>
    <w:rPr>
      <w:rFonts w:ascii="Times New Roman" w:hAnsi="Times New Roman"/>
      <w:b/>
    </w:rPr>
  </w:style>
  <w:style w:type="character" w:customStyle="1" w:styleId="apple-converted-space">
    <w:name w:val="apple-converted-space"/>
    <w:basedOn w:val="DefaultParagraphFont"/>
    <w:rsid w:val="008C0D95"/>
  </w:style>
  <w:style w:type="character" w:styleId="Hyperlink">
    <w:name w:val="Hyperlink"/>
    <w:basedOn w:val="DefaultParagraphFont"/>
    <w:uiPriority w:val="99"/>
    <w:semiHidden/>
    <w:unhideWhenUsed/>
    <w:rsid w:val="000E09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4B"/>
    <w:rPr>
      <w:rFonts w:ascii="Palatino" w:hAnsi="Palatino"/>
      <w:sz w:val="24"/>
    </w:rPr>
  </w:style>
  <w:style w:type="paragraph" w:styleId="Heading1">
    <w:name w:val="heading 1"/>
    <w:basedOn w:val="Normal"/>
    <w:next w:val="Normal"/>
    <w:qFormat/>
    <w:rsid w:val="008A744B"/>
    <w:pPr>
      <w:keepNext/>
      <w:outlineLvl w:val="0"/>
    </w:pPr>
    <w:rPr>
      <w:u w:val="single"/>
    </w:rPr>
  </w:style>
  <w:style w:type="paragraph" w:styleId="Heading2">
    <w:name w:val="heading 2"/>
    <w:basedOn w:val="Normal"/>
    <w:next w:val="Normal"/>
    <w:qFormat/>
    <w:rsid w:val="008A744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44B"/>
    <w:pPr>
      <w:tabs>
        <w:tab w:val="left" w:pos="720"/>
        <w:tab w:val="left" w:pos="3330"/>
      </w:tabs>
      <w:jc w:val="center"/>
    </w:pPr>
    <w:rPr>
      <w:rFonts w:ascii="Times New Roman" w:hAnsi="Times New Roman"/>
      <w:b/>
    </w:rPr>
  </w:style>
  <w:style w:type="character" w:customStyle="1" w:styleId="apple-converted-space">
    <w:name w:val="apple-converted-space"/>
    <w:basedOn w:val="DefaultParagraphFont"/>
    <w:rsid w:val="008C0D95"/>
  </w:style>
  <w:style w:type="character" w:styleId="Hyperlink">
    <w:name w:val="Hyperlink"/>
    <w:basedOn w:val="DefaultParagraphFont"/>
    <w:uiPriority w:val="99"/>
    <w:semiHidden/>
    <w:unhideWhenUsed/>
    <w:rsid w:val="000E0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7703">
      <w:bodyDiv w:val="1"/>
      <w:marLeft w:val="0"/>
      <w:marRight w:val="0"/>
      <w:marTop w:val="0"/>
      <w:marBottom w:val="0"/>
      <w:divBdr>
        <w:top w:val="none" w:sz="0" w:space="0" w:color="auto"/>
        <w:left w:val="none" w:sz="0" w:space="0" w:color="auto"/>
        <w:bottom w:val="none" w:sz="0" w:space="0" w:color="auto"/>
        <w:right w:val="none" w:sz="0" w:space="0" w:color="auto"/>
      </w:divBdr>
    </w:div>
    <w:div w:id="552618553">
      <w:bodyDiv w:val="1"/>
      <w:marLeft w:val="0"/>
      <w:marRight w:val="0"/>
      <w:marTop w:val="0"/>
      <w:marBottom w:val="0"/>
      <w:divBdr>
        <w:top w:val="none" w:sz="0" w:space="0" w:color="auto"/>
        <w:left w:val="none" w:sz="0" w:space="0" w:color="auto"/>
        <w:bottom w:val="none" w:sz="0" w:space="0" w:color="auto"/>
        <w:right w:val="none" w:sz="0" w:space="0" w:color="auto"/>
      </w:divBdr>
    </w:div>
    <w:div w:id="623466593">
      <w:bodyDiv w:val="1"/>
      <w:marLeft w:val="0"/>
      <w:marRight w:val="0"/>
      <w:marTop w:val="0"/>
      <w:marBottom w:val="0"/>
      <w:divBdr>
        <w:top w:val="none" w:sz="0" w:space="0" w:color="auto"/>
        <w:left w:val="none" w:sz="0" w:space="0" w:color="auto"/>
        <w:bottom w:val="none" w:sz="0" w:space="0" w:color="auto"/>
        <w:right w:val="none" w:sz="0" w:space="0" w:color="auto"/>
      </w:divBdr>
    </w:div>
    <w:div w:id="956370890">
      <w:bodyDiv w:val="1"/>
      <w:marLeft w:val="0"/>
      <w:marRight w:val="0"/>
      <w:marTop w:val="0"/>
      <w:marBottom w:val="0"/>
      <w:divBdr>
        <w:top w:val="none" w:sz="0" w:space="0" w:color="auto"/>
        <w:left w:val="none" w:sz="0" w:space="0" w:color="auto"/>
        <w:bottom w:val="none" w:sz="0" w:space="0" w:color="auto"/>
        <w:right w:val="none" w:sz="0" w:space="0" w:color="auto"/>
      </w:divBdr>
    </w:div>
    <w:div w:id="1523081829">
      <w:bodyDiv w:val="1"/>
      <w:marLeft w:val="0"/>
      <w:marRight w:val="0"/>
      <w:marTop w:val="0"/>
      <w:marBottom w:val="0"/>
      <w:divBdr>
        <w:top w:val="none" w:sz="0" w:space="0" w:color="auto"/>
        <w:left w:val="none" w:sz="0" w:space="0" w:color="auto"/>
        <w:bottom w:val="none" w:sz="0" w:space="0" w:color="auto"/>
        <w:right w:val="none" w:sz="0" w:space="0" w:color="auto"/>
      </w:divBdr>
    </w:div>
    <w:div w:id="1931040593">
      <w:bodyDiv w:val="1"/>
      <w:marLeft w:val="0"/>
      <w:marRight w:val="0"/>
      <w:marTop w:val="0"/>
      <w:marBottom w:val="0"/>
      <w:divBdr>
        <w:top w:val="none" w:sz="0" w:space="0" w:color="auto"/>
        <w:left w:val="none" w:sz="0" w:space="0" w:color="auto"/>
        <w:bottom w:val="none" w:sz="0" w:space="0" w:color="auto"/>
        <w:right w:val="none" w:sz="0" w:space="0" w:color="auto"/>
      </w:divBdr>
    </w:div>
    <w:div w:id="210109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1/11</vt:lpstr>
    </vt:vector>
  </TitlesOfParts>
  <Company>University of Southern California</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Gideon Yaffe</dc:creator>
  <cp:keywords/>
  <cp:lastModifiedBy>Stephen Darwall</cp:lastModifiedBy>
  <cp:revision>18</cp:revision>
  <dcterms:created xsi:type="dcterms:W3CDTF">2013-12-06T16:27:00Z</dcterms:created>
  <dcterms:modified xsi:type="dcterms:W3CDTF">2014-01-14T14:22:00Z</dcterms:modified>
</cp:coreProperties>
</file>