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C8" w:rsidRDefault="00B25877" w:rsidP="006F57AC">
      <w:pPr>
        <w:spacing w:after="120"/>
        <w:rPr>
          <w:b/>
          <w:sz w:val="28"/>
          <w:szCs w:val="28"/>
        </w:rPr>
      </w:pPr>
      <w:r>
        <w:rPr>
          <w:b/>
          <w:sz w:val="28"/>
          <w:szCs w:val="28"/>
        </w:rPr>
        <w:t>3/7/17</w:t>
      </w:r>
      <w:r w:rsidR="00A96148">
        <w:rPr>
          <w:b/>
          <w:sz w:val="28"/>
          <w:szCs w:val="28"/>
        </w:rPr>
        <w:t xml:space="preserve">: </w:t>
      </w:r>
      <w:r>
        <w:rPr>
          <w:b/>
          <w:sz w:val="28"/>
          <w:szCs w:val="28"/>
        </w:rPr>
        <w:t xml:space="preserve">Deserts (reading #12), </w:t>
      </w:r>
      <w:r w:rsidR="00A96148">
        <w:rPr>
          <w:b/>
          <w:sz w:val="28"/>
          <w:szCs w:val="28"/>
        </w:rPr>
        <w:t>Reid</w:t>
      </w:r>
      <w:r>
        <w:rPr>
          <w:b/>
          <w:sz w:val="28"/>
          <w:szCs w:val="28"/>
        </w:rPr>
        <w:t xml:space="preserve"> (reading #13)       </w:t>
      </w:r>
      <w:r w:rsidR="00A96148">
        <w:rPr>
          <w:b/>
          <w:sz w:val="28"/>
          <w:szCs w:val="28"/>
        </w:rPr>
        <w:t xml:space="preserve">    </w:t>
      </w:r>
      <w:r w:rsidR="00830C97">
        <w:rPr>
          <w:b/>
          <w:sz w:val="28"/>
          <w:szCs w:val="28"/>
        </w:rPr>
        <w:t xml:space="preserve">  </w:t>
      </w:r>
      <w:bookmarkStart w:id="0" w:name="_GoBack"/>
      <w:bookmarkEnd w:id="0"/>
      <w:r w:rsidR="00A96148">
        <w:rPr>
          <w:b/>
          <w:sz w:val="28"/>
          <w:szCs w:val="28"/>
        </w:rPr>
        <w:t xml:space="preserve">             </w:t>
      </w:r>
      <w:r w:rsidR="00A96148" w:rsidRPr="00A96148">
        <w:rPr>
          <w:sz w:val="28"/>
          <w:szCs w:val="28"/>
        </w:rPr>
        <w:t>Phil. 270</w:t>
      </w:r>
    </w:p>
    <w:p w:rsidR="00B25877" w:rsidRDefault="00B25877" w:rsidP="006F57AC">
      <w:pPr>
        <w:spacing w:after="120"/>
        <w:rPr>
          <w:b/>
          <w:sz w:val="28"/>
          <w:szCs w:val="28"/>
        </w:rPr>
      </w:pPr>
    </w:p>
    <w:p w:rsidR="00B25877" w:rsidRPr="00D00159" w:rsidRDefault="00B25877" w:rsidP="006F57AC">
      <w:pPr>
        <w:spacing w:after="120"/>
        <w:rPr>
          <w:b/>
          <w:sz w:val="28"/>
          <w:szCs w:val="28"/>
          <w:u w:val="single"/>
        </w:rPr>
      </w:pPr>
      <w:r w:rsidRPr="00D00159">
        <w:rPr>
          <w:b/>
          <w:sz w:val="28"/>
          <w:szCs w:val="28"/>
          <w:u w:val="single"/>
        </w:rPr>
        <w:t>Deserts</w:t>
      </w:r>
    </w:p>
    <w:p w:rsidR="00B25877" w:rsidRPr="003F3DA3" w:rsidRDefault="00B25877" w:rsidP="006F57AC">
      <w:pPr>
        <w:spacing w:after="120"/>
        <w:rPr>
          <w:sz w:val="28"/>
          <w:szCs w:val="28"/>
        </w:rPr>
      </w:pPr>
      <w:r>
        <w:rPr>
          <w:sz w:val="28"/>
          <w:szCs w:val="28"/>
        </w:rPr>
        <w:t xml:space="preserve">-from last time: peer disagreement, conciliation, sticking to one’s guns. How our philosophical acceptances behave, esp. in relation to peer (or even superior) disagreement, calls into question whether these are </w:t>
      </w:r>
      <w:r w:rsidRPr="00B25877">
        <w:rPr>
          <w:b/>
          <w:sz w:val="28"/>
          <w:szCs w:val="28"/>
        </w:rPr>
        <w:t>belief</w:t>
      </w:r>
      <w:r>
        <w:rPr>
          <w:sz w:val="28"/>
          <w:szCs w:val="28"/>
        </w:rPr>
        <w:t>s</w:t>
      </w:r>
      <w:r w:rsidR="003F3DA3">
        <w:rPr>
          <w:sz w:val="28"/>
          <w:szCs w:val="28"/>
        </w:rPr>
        <w:t xml:space="preserve">. Recall the comparison of </w:t>
      </w:r>
      <w:r w:rsidR="003F3DA3">
        <w:rPr>
          <w:i/>
          <w:sz w:val="28"/>
          <w:szCs w:val="28"/>
        </w:rPr>
        <w:t>Abraham Lincoln was born in 1809</w:t>
      </w:r>
      <w:r w:rsidR="003F3DA3">
        <w:rPr>
          <w:sz w:val="28"/>
          <w:szCs w:val="28"/>
        </w:rPr>
        <w:t xml:space="preserve"> with </w:t>
      </w:r>
      <w:proofErr w:type="spellStart"/>
      <w:r w:rsidR="003F3DA3">
        <w:rPr>
          <w:i/>
          <w:sz w:val="28"/>
          <w:szCs w:val="28"/>
        </w:rPr>
        <w:t>Incompatibilism</w:t>
      </w:r>
      <w:proofErr w:type="spellEnd"/>
      <w:r w:rsidR="003F3DA3">
        <w:rPr>
          <w:i/>
          <w:sz w:val="28"/>
          <w:szCs w:val="28"/>
        </w:rPr>
        <w:t xml:space="preserve"> is true</w:t>
      </w:r>
      <w:r w:rsidR="003F3DA3">
        <w:rPr>
          <w:sz w:val="28"/>
          <w:szCs w:val="28"/>
        </w:rPr>
        <w:t>.</w:t>
      </w:r>
    </w:p>
    <w:p w:rsidR="00B25877" w:rsidRDefault="00B25877" w:rsidP="006F57AC">
      <w:pPr>
        <w:spacing w:after="120"/>
        <w:rPr>
          <w:sz w:val="28"/>
          <w:szCs w:val="28"/>
        </w:rPr>
      </w:pPr>
      <w:r>
        <w:rPr>
          <w:sz w:val="28"/>
          <w:szCs w:val="28"/>
        </w:rPr>
        <w:t>-“really believe” (pp. 2-3) and “in-between” states</w:t>
      </w:r>
      <w:r w:rsidR="003F3DA3">
        <w:rPr>
          <w:sz w:val="28"/>
          <w:szCs w:val="28"/>
        </w:rPr>
        <w:t>; beliefs and dispositions</w:t>
      </w:r>
    </w:p>
    <w:p w:rsidR="003F3DA3" w:rsidRDefault="00B25877" w:rsidP="00B25877">
      <w:pPr>
        <w:spacing w:after="120"/>
        <w:rPr>
          <w:sz w:val="28"/>
          <w:szCs w:val="28"/>
        </w:rPr>
      </w:pPr>
      <w:r>
        <w:rPr>
          <w:sz w:val="28"/>
          <w:szCs w:val="28"/>
        </w:rPr>
        <w:t>-</w:t>
      </w:r>
      <w:r w:rsidRPr="00700E0E">
        <w:rPr>
          <w:b/>
          <w:sz w:val="28"/>
          <w:szCs w:val="28"/>
        </w:rPr>
        <w:t>knowledge</w:t>
      </w:r>
      <w:r>
        <w:rPr>
          <w:sz w:val="28"/>
          <w:szCs w:val="28"/>
        </w:rPr>
        <w:t>: I just outright deny this, about the target acceptances: “P</w:t>
      </w:r>
      <w:r w:rsidRPr="00B25877">
        <w:rPr>
          <w:sz w:val="28"/>
          <w:szCs w:val="28"/>
        </w:rPr>
        <w:t xml:space="preserve">hilosophers generally don’t know—by any </w:t>
      </w:r>
      <w:r>
        <w:rPr>
          <w:sz w:val="28"/>
          <w:szCs w:val="28"/>
        </w:rPr>
        <w:t xml:space="preserve">good standards—the positions we </w:t>
      </w:r>
      <w:r w:rsidRPr="00B25877">
        <w:rPr>
          <w:sz w:val="28"/>
          <w:szCs w:val="28"/>
        </w:rPr>
        <w:t>take on controversial issues</w:t>
      </w:r>
      <w:r w:rsidR="003F3DA3">
        <w:rPr>
          <w:sz w:val="28"/>
          <w:szCs w:val="28"/>
        </w:rPr>
        <w:t>” (p. 2).</w:t>
      </w:r>
      <w:r>
        <w:rPr>
          <w:sz w:val="28"/>
          <w:szCs w:val="28"/>
        </w:rPr>
        <w:t xml:space="preserve"> The scope of this is a bit murky, though: see note 2. </w:t>
      </w:r>
    </w:p>
    <w:p w:rsidR="00B25877" w:rsidRDefault="003F3DA3" w:rsidP="003F3DA3">
      <w:pPr>
        <w:spacing w:after="120"/>
        <w:ind w:left="720"/>
        <w:rPr>
          <w:sz w:val="28"/>
          <w:szCs w:val="28"/>
        </w:rPr>
      </w:pPr>
      <w:r>
        <w:rPr>
          <w:sz w:val="28"/>
          <w:szCs w:val="28"/>
        </w:rPr>
        <w:t>“Delusions of knowledge”</w:t>
      </w:r>
    </w:p>
    <w:p w:rsidR="00700E0E" w:rsidRDefault="003F3DA3" w:rsidP="00B25877">
      <w:pPr>
        <w:spacing w:after="120"/>
        <w:rPr>
          <w:sz w:val="28"/>
          <w:szCs w:val="28"/>
        </w:rPr>
      </w:pPr>
      <w:r>
        <w:rPr>
          <w:sz w:val="28"/>
          <w:szCs w:val="28"/>
        </w:rPr>
        <w:t>-</w:t>
      </w:r>
      <w:r w:rsidRPr="00700E0E">
        <w:rPr>
          <w:b/>
          <w:sz w:val="28"/>
          <w:szCs w:val="28"/>
        </w:rPr>
        <w:t>assertion</w:t>
      </w:r>
      <w:r>
        <w:rPr>
          <w:sz w:val="28"/>
          <w:szCs w:val="28"/>
        </w:rPr>
        <w:t xml:space="preserve"> in deserts: Given the above stance on knowledge, </w:t>
      </w:r>
      <w:r w:rsidR="00700E0E">
        <w:rPr>
          <w:sz w:val="28"/>
          <w:szCs w:val="28"/>
        </w:rPr>
        <w:t xml:space="preserve">philosophy (and other “knowledge deserts,” too) seems rife with flagrant violations of the knowledge norm of assertion (p. 10.1). </w:t>
      </w:r>
    </w:p>
    <w:p w:rsidR="00700E0E" w:rsidRDefault="00700E0E" w:rsidP="00B25877">
      <w:pPr>
        <w:spacing w:after="120"/>
        <w:rPr>
          <w:sz w:val="28"/>
          <w:szCs w:val="28"/>
        </w:rPr>
      </w:pPr>
      <w:r>
        <w:rPr>
          <w:sz w:val="28"/>
          <w:szCs w:val="28"/>
        </w:rPr>
        <w:t xml:space="preserve">There seems to be a “special excuse or license” (13.3) in knowledge deserts to engage in a “pretense” (13.5) of knowing things one only accepts (&amp; doesn’t actually know), and assert those things. </w:t>
      </w:r>
    </w:p>
    <w:p w:rsidR="00700E0E" w:rsidRDefault="00700E0E" w:rsidP="00700E0E">
      <w:pPr>
        <w:spacing w:after="120"/>
        <w:ind w:left="720"/>
        <w:rPr>
          <w:sz w:val="28"/>
          <w:szCs w:val="28"/>
        </w:rPr>
      </w:pPr>
      <w:r>
        <w:rPr>
          <w:sz w:val="28"/>
          <w:szCs w:val="28"/>
        </w:rPr>
        <w:t>-How this works, &amp; why it’s “handy”: paragraph straddling pp. 13-14</w:t>
      </w:r>
    </w:p>
    <w:p w:rsidR="003F3DA3" w:rsidRDefault="00700E0E" w:rsidP="00700E0E">
      <w:pPr>
        <w:spacing w:after="120"/>
        <w:ind w:left="720"/>
        <w:rPr>
          <w:sz w:val="28"/>
          <w:szCs w:val="28"/>
        </w:rPr>
      </w:pPr>
      <w:r>
        <w:rPr>
          <w:sz w:val="28"/>
          <w:szCs w:val="28"/>
        </w:rPr>
        <w:t>-</w:t>
      </w:r>
      <w:r w:rsidR="00D00159">
        <w:rPr>
          <w:sz w:val="28"/>
          <w:szCs w:val="28"/>
        </w:rPr>
        <w:t>Why</w:t>
      </w:r>
      <w:r>
        <w:rPr>
          <w:sz w:val="28"/>
          <w:szCs w:val="28"/>
        </w:rPr>
        <w:t xml:space="preserve"> </w:t>
      </w:r>
      <w:r w:rsidR="00D00159">
        <w:rPr>
          <w:sz w:val="28"/>
          <w:szCs w:val="28"/>
        </w:rPr>
        <w:t xml:space="preserve">this practice might make sense in knowledge deserts (as opposed to other settings): </w:t>
      </w:r>
      <w:proofErr w:type="spellStart"/>
      <w:r w:rsidR="00D00159">
        <w:rPr>
          <w:sz w:val="28"/>
          <w:szCs w:val="28"/>
        </w:rPr>
        <w:t>Incompatibilism</w:t>
      </w:r>
      <w:proofErr w:type="spellEnd"/>
      <w:r w:rsidR="00D00159">
        <w:rPr>
          <w:sz w:val="28"/>
          <w:szCs w:val="28"/>
        </w:rPr>
        <w:t xml:space="preserve"> vs. “There’s a garage around the corner” in the </w:t>
      </w:r>
      <w:proofErr w:type="gramStart"/>
      <w:r w:rsidR="00D00159">
        <w:rPr>
          <w:sz w:val="28"/>
          <w:szCs w:val="28"/>
        </w:rPr>
        <w:t>paragraph  straddling</w:t>
      </w:r>
      <w:proofErr w:type="gramEnd"/>
      <w:r w:rsidR="00D00159">
        <w:rPr>
          <w:sz w:val="28"/>
          <w:szCs w:val="28"/>
        </w:rPr>
        <w:t xml:space="preserve"> pp. 12-13. </w:t>
      </w:r>
    </w:p>
    <w:p w:rsidR="00B25877" w:rsidRPr="00B25877" w:rsidRDefault="00B25877" w:rsidP="006F57AC">
      <w:pPr>
        <w:spacing w:after="120"/>
        <w:rPr>
          <w:sz w:val="28"/>
          <w:szCs w:val="28"/>
        </w:rPr>
      </w:pPr>
    </w:p>
    <w:p w:rsidR="00651DB1" w:rsidRDefault="00651DB1" w:rsidP="006F57AC">
      <w:pPr>
        <w:spacing w:after="120"/>
        <w:rPr>
          <w:b/>
          <w:sz w:val="28"/>
          <w:szCs w:val="28"/>
        </w:rPr>
      </w:pPr>
      <w:r w:rsidRPr="00D00159">
        <w:rPr>
          <w:b/>
          <w:sz w:val="28"/>
          <w:szCs w:val="28"/>
          <w:u w:val="single"/>
        </w:rPr>
        <w:t>Reid</w:t>
      </w:r>
      <w:r>
        <w:rPr>
          <w:b/>
          <w:sz w:val="28"/>
          <w:szCs w:val="28"/>
        </w:rPr>
        <w:t xml:space="preserve"> on the process by which we come to believe in material objects</w:t>
      </w:r>
    </w:p>
    <w:p w:rsidR="00A96148" w:rsidRDefault="00A96148" w:rsidP="006F57AC">
      <w:pPr>
        <w:spacing w:after="120"/>
        <w:rPr>
          <w:sz w:val="28"/>
          <w:szCs w:val="28"/>
        </w:rPr>
      </w:pPr>
      <w:proofErr w:type="gramStart"/>
      <w:r>
        <w:rPr>
          <w:sz w:val="28"/>
          <w:szCs w:val="28"/>
        </w:rPr>
        <w:t>-terminology: “material object” vs. “physical object”/“body”</w:t>
      </w:r>
      <w:r w:rsidR="00D00159">
        <w:rPr>
          <w:sz w:val="28"/>
          <w:szCs w:val="28"/>
        </w:rPr>
        <w:t>.</w:t>
      </w:r>
      <w:proofErr w:type="gramEnd"/>
      <w:r w:rsidR="00D00159">
        <w:rPr>
          <w:sz w:val="28"/>
          <w:szCs w:val="28"/>
        </w:rPr>
        <w:t xml:space="preserve"> Question: How, oh how, can we ever be justified (ordinarily</w:t>
      </w:r>
      <w:proofErr w:type="gramStart"/>
      <w:r w:rsidR="00D00159">
        <w:rPr>
          <w:sz w:val="28"/>
          <w:szCs w:val="28"/>
        </w:rPr>
        <w:t>?,</w:t>
      </w:r>
      <w:proofErr w:type="gramEnd"/>
      <w:r w:rsidR="00D00159">
        <w:rPr>
          <w:sz w:val="28"/>
          <w:szCs w:val="28"/>
        </w:rPr>
        <w:t xml:space="preserve"> philosophically?) in accepting/believing that there are material objects?</w:t>
      </w:r>
    </w:p>
    <w:p w:rsidR="00651DB1" w:rsidRDefault="00651DB1" w:rsidP="006F57AC">
      <w:pPr>
        <w:spacing w:after="120"/>
        <w:rPr>
          <w:sz w:val="28"/>
          <w:szCs w:val="28"/>
        </w:rPr>
      </w:pPr>
      <w:r>
        <w:rPr>
          <w:sz w:val="28"/>
          <w:szCs w:val="28"/>
        </w:rPr>
        <w:t>-How</w:t>
      </w:r>
      <w:r w:rsidR="00D00159">
        <w:rPr>
          <w:sz w:val="28"/>
          <w:szCs w:val="28"/>
        </w:rPr>
        <w:t xml:space="preserve">, according to </w:t>
      </w:r>
      <w:r>
        <w:rPr>
          <w:sz w:val="28"/>
          <w:szCs w:val="28"/>
        </w:rPr>
        <w:t>Reid</w:t>
      </w:r>
      <w:r w:rsidR="00D00159">
        <w:rPr>
          <w:sz w:val="28"/>
          <w:szCs w:val="28"/>
        </w:rPr>
        <w:t xml:space="preserve">, his </w:t>
      </w:r>
      <w:r>
        <w:rPr>
          <w:sz w:val="28"/>
          <w:szCs w:val="28"/>
        </w:rPr>
        <w:t xml:space="preserve">predecessors saw the process </w:t>
      </w:r>
      <w:r w:rsidR="00D00159">
        <w:rPr>
          <w:sz w:val="28"/>
          <w:szCs w:val="28"/>
        </w:rPr>
        <w:t>by which we come to believe in MOs (Reid</w:t>
      </w:r>
      <w:r w:rsidR="00B24F8D">
        <w:rPr>
          <w:sz w:val="28"/>
          <w:szCs w:val="28"/>
        </w:rPr>
        <w:t xml:space="preserve"> may be roughly right about Berkeley</w:t>
      </w:r>
      <w:r>
        <w:rPr>
          <w:sz w:val="28"/>
          <w:szCs w:val="28"/>
        </w:rPr>
        <w:t>)</w:t>
      </w:r>
    </w:p>
    <w:p w:rsidR="00651DB1" w:rsidRDefault="00651DB1" w:rsidP="006F57AC">
      <w:pPr>
        <w:spacing w:after="120"/>
        <w:rPr>
          <w:sz w:val="28"/>
          <w:szCs w:val="28"/>
        </w:rPr>
      </w:pPr>
      <w:r>
        <w:rPr>
          <w:sz w:val="28"/>
          <w:szCs w:val="28"/>
        </w:rPr>
        <w:t>-Reid’s own account of the process</w:t>
      </w:r>
    </w:p>
    <w:p w:rsidR="00651DB1" w:rsidRDefault="00651DB1" w:rsidP="006F57AC">
      <w:pPr>
        <w:spacing w:after="120"/>
        <w:rPr>
          <w:sz w:val="28"/>
          <w:szCs w:val="28"/>
        </w:rPr>
      </w:pPr>
      <w:r>
        <w:rPr>
          <w:sz w:val="28"/>
          <w:szCs w:val="28"/>
        </w:rPr>
        <w:t>-some of Reid’s predecessors may largely agree with him on the process (or be willing to grant him his account), but disagree with him about the epistemological evaluation of beliefs so arrived at (they thinking they are not</w:t>
      </w:r>
      <w:r w:rsidR="00B24F8D">
        <w:rPr>
          <w:sz w:val="28"/>
          <w:szCs w:val="28"/>
        </w:rPr>
        <w:t>/would not be</w:t>
      </w:r>
      <w:r>
        <w:rPr>
          <w:sz w:val="28"/>
          <w:szCs w:val="28"/>
        </w:rPr>
        <w:t xml:space="preserve"> rationally justified), and are instead proposing an account of how beliefs in </w:t>
      </w:r>
      <w:proofErr w:type="spellStart"/>
      <w:r>
        <w:rPr>
          <w:sz w:val="28"/>
          <w:szCs w:val="28"/>
        </w:rPr>
        <w:t>m.o.s</w:t>
      </w:r>
      <w:proofErr w:type="spellEnd"/>
      <w:r>
        <w:rPr>
          <w:sz w:val="28"/>
          <w:szCs w:val="28"/>
        </w:rPr>
        <w:t xml:space="preserve"> </w:t>
      </w:r>
      <w:r w:rsidRPr="00A96148">
        <w:rPr>
          <w:i/>
          <w:sz w:val="28"/>
          <w:szCs w:val="28"/>
        </w:rPr>
        <w:t>could be</w:t>
      </w:r>
      <w:r>
        <w:rPr>
          <w:sz w:val="28"/>
          <w:szCs w:val="28"/>
        </w:rPr>
        <w:t xml:space="preserve"> (not-so-naturally) arrived at </w:t>
      </w:r>
      <w:r w:rsidR="00A96148">
        <w:rPr>
          <w:sz w:val="28"/>
          <w:szCs w:val="28"/>
        </w:rPr>
        <w:t>so as to be justified</w:t>
      </w:r>
    </w:p>
    <w:p w:rsidR="00651DB1" w:rsidRDefault="00651DB1" w:rsidP="006F57AC">
      <w:pPr>
        <w:spacing w:after="120"/>
        <w:rPr>
          <w:sz w:val="28"/>
          <w:szCs w:val="28"/>
        </w:rPr>
      </w:pPr>
    </w:p>
    <w:p w:rsidR="00651DB1" w:rsidRPr="00A96148" w:rsidRDefault="00651DB1" w:rsidP="006F57AC">
      <w:pPr>
        <w:spacing w:after="120"/>
        <w:rPr>
          <w:b/>
          <w:sz w:val="28"/>
          <w:szCs w:val="28"/>
        </w:rPr>
      </w:pPr>
      <w:r w:rsidRPr="00A96148">
        <w:rPr>
          <w:b/>
          <w:sz w:val="28"/>
          <w:szCs w:val="28"/>
        </w:rPr>
        <w:t>Reid on the epistemic evaluation of our beliefs in material objects</w:t>
      </w:r>
    </w:p>
    <w:p w:rsidR="00651DB1" w:rsidRDefault="00651DB1" w:rsidP="006F57AC">
      <w:pPr>
        <w:spacing w:after="120"/>
        <w:rPr>
          <w:sz w:val="28"/>
          <w:szCs w:val="28"/>
        </w:rPr>
      </w:pPr>
      <w:r>
        <w:rPr>
          <w:sz w:val="28"/>
          <w:szCs w:val="28"/>
        </w:rPr>
        <w:t xml:space="preserve">-Berkeley’s “epistemological argument” </w:t>
      </w:r>
      <w:r w:rsidR="006F57AC">
        <w:rPr>
          <w:sz w:val="28"/>
          <w:szCs w:val="28"/>
        </w:rPr>
        <w:t xml:space="preserve">(as an example of </w:t>
      </w:r>
      <w:proofErr w:type="spellStart"/>
      <w:r w:rsidR="006F57AC">
        <w:rPr>
          <w:sz w:val="28"/>
          <w:szCs w:val="28"/>
        </w:rPr>
        <w:t>evidentialist</w:t>
      </w:r>
      <w:proofErr w:type="spellEnd"/>
      <w:r w:rsidR="006F57AC">
        <w:rPr>
          <w:sz w:val="28"/>
          <w:szCs w:val="28"/>
        </w:rPr>
        <w:t xml:space="preserve"> arguments) </w:t>
      </w:r>
      <w:r>
        <w:rPr>
          <w:sz w:val="28"/>
          <w:szCs w:val="28"/>
        </w:rPr>
        <w:t xml:space="preserve">and the </w:t>
      </w:r>
      <w:proofErr w:type="spellStart"/>
      <w:r>
        <w:rPr>
          <w:sz w:val="28"/>
          <w:szCs w:val="28"/>
        </w:rPr>
        <w:t>evidentialist</w:t>
      </w:r>
      <w:proofErr w:type="spellEnd"/>
      <w:r>
        <w:rPr>
          <w:sz w:val="28"/>
          <w:szCs w:val="28"/>
        </w:rPr>
        <w:t xml:space="preserve"> requirement</w:t>
      </w:r>
    </w:p>
    <w:p w:rsidR="00651DB1" w:rsidRDefault="00651DB1" w:rsidP="006F57AC">
      <w:pPr>
        <w:spacing w:after="120"/>
        <w:rPr>
          <w:sz w:val="28"/>
          <w:szCs w:val="28"/>
        </w:rPr>
      </w:pPr>
      <w:r>
        <w:rPr>
          <w:sz w:val="28"/>
          <w:szCs w:val="28"/>
        </w:rPr>
        <w:t>-Reid’s conservative/</w:t>
      </w:r>
      <w:proofErr w:type="spellStart"/>
      <w:r>
        <w:rPr>
          <w:sz w:val="28"/>
          <w:szCs w:val="28"/>
        </w:rPr>
        <w:t>i</w:t>
      </w:r>
      <w:proofErr w:type="spellEnd"/>
      <w:r>
        <w:rPr>
          <w:sz w:val="28"/>
          <w:szCs w:val="28"/>
        </w:rPr>
        <w:t>-u-p-g account and his rejection</w:t>
      </w:r>
    </w:p>
    <w:p w:rsidR="00A96148" w:rsidRDefault="00A96148" w:rsidP="006F57AC">
      <w:pPr>
        <w:spacing w:after="120"/>
        <w:rPr>
          <w:sz w:val="28"/>
          <w:szCs w:val="28"/>
        </w:rPr>
      </w:pPr>
      <w:r>
        <w:rPr>
          <w:sz w:val="28"/>
          <w:szCs w:val="28"/>
        </w:rPr>
        <w:t xml:space="preserve">-Reid’s “argument for trust”: Reid’s conservatism vs. </w:t>
      </w:r>
      <w:r w:rsidR="00B24F8D">
        <w:rPr>
          <w:sz w:val="28"/>
          <w:szCs w:val="28"/>
        </w:rPr>
        <w:t>“thorough and consistent skeptics” and “semi-skeptics”</w:t>
      </w:r>
    </w:p>
    <w:p w:rsidR="00B24F8D" w:rsidRDefault="00B24F8D" w:rsidP="006F57AC">
      <w:pPr>
        <w:spacing w:after="120"/>
        <w:rPr>
          <w:sz w:val="28"/>
          <w:szCs w:val="28"/>
        </w:rPr>
      </w:pPr>
    </w:p>
    <w:p w:rsidR="00B24F8D" w:rsidRPr="00C02B5D" w:rsidRDefault="00B24F8D" w:rsidP="006F57AC">
      <w:pPr>
        <w:spacing w:after="120"/>
        <w:rPr>
          <w:b/>
          <w:sz w:val="28"/>
          <w:szCs w:val="28"/>
        </w:rPr>
      </w:pPr>
      <w:r w:rsidRPr="00C02B5D">
        <w:rPr>
          <w:b/>
          <w:sz w:val="28"/>
          <w:szCs w:val="28"/>
        </w:rPr>
        <w:t xml:space="preserve">Conservatism vs. </w:t>
      </w:r>
      <w:proofErr w:type="spellStart"/>
      <w:r w:rsidRPr="00C02B5D">
        <w:rPr>
          <w:b/>
          <w:sz w:val="28"/>
          <w:szCs w:val="28"/>
        </w:rPr>
        <w:t>Evidentialism</w:t>
      </w:r>
      <w:proofErr w:type="spellEnd"/>
    </w:p>
    <w:p w:rsidR="00B24F8D" w:rsidRDefault="00B24F8D" w:rsidP="006F57AC">
      <w:pPr>
        <w:spacing w:after="120"/>
        <w:rPr>
          <w:sz w:val="28"/>
          <w:szCs w:val="28"/>
        </w:rPr>
      </w:pPr>
      <w:r>
        <w:rPr>
          <w:sz w:val="28"/>
          <w:szCs w:val="28"/>
        </w:rPr>
        <w:t xml:space="preserve">-Conservatives like Reid (and </w:t>
      </w:r>
      <w:proofErr w:type="spellStart"/>
      <w:r>
        <w:rPr>
          <w:sz w:val="28"/>
          <w:szCs w:val="28"/>
        </w:rPr>
        <w:t>Huemer</w:t>
      </w:r>
      <w:proofErr w:type="spellEnd"/>
      <w:r>
        <w:rPr>
          <w:sz w:val="28"/>
          <w:szCs w:val="28"/>
        </w:rPr>
        <w:t xml:space="preserve">, whose spat with </w:t>
      </w:r>
      <w:proofErr w:type="spellStart"/>
      <w:r>
        <w:rPr>
          <w:sz w:val="28"/>
          <w:szCs w:val="28"/>
        </w:rPr>
        <w:t>BonJour</w:t>
      </w:r>
      <w:proofErr w:type="spellEnd"/>
      <w:r>
        <w:rPr>
          <w:sz w:val="28"/>
          <w:szCs w:val="28"/>
        </w:rPr>
        <w:t xml:space="preserve"> eerily recreates</w:t>
      </w:r>
      <w:r w:rsidR="00C02B5D">
        <w:rPr>
          <w:sz w:val="28"/>
          <w:szCs w:val="28"/>
        </w:rPr>
        <w:t xml:space="preserve"> Reid’s 18</w:t>
      </w:r>
      <w:r w:rsidR="00C02B5D" w:rsidRPr="00C02B5D">
        <w:rPr>
          <w:sz w:val="28"/>
          <w:szCs w:val="28"/>
          <w:vertAlign w:val="superscript"/>
        </w:rPr>
        <w:t>th</w:t>
      </w:r>
      <w:r w:rsidR="00C02B5D">
        <w:rPr>
          <w:sz w:val="28"/>
          <w:szCs w:val="28"/>
        </w:rPr>
        <w:t xml:space="preserve"> Century debate with his foes</w:t>
      </w:r>
      <w:r>
        <w:rPr>
          <w:sz w:val="28"/>
          <w:szCs w:val="28"/>
        </w:rPr>
        <w:t>)</w:t>
      </w:r>
      <w:r w:rsidR="00C02B5D">
        <w:rPr>
          <w:sz w:val="28"/>
          <w:szCs w:val="28"/>
        </w:rPr>
        <w:t xml:space="preserve"> like to see their opponents not only as “semi-skeptics,” but also as (what is really the flip-side of the same coin) “semi-conservatives”: as (arbitrarily) choosey conservatives.</w:t>
      </w:r>
    </w:p>
    <w:p w:rsidR="00C02B5D" w:rsidRDefault="00C02B5D" w:rsidP="006F57AC">
      <w:pPr>
        <w:spacing w:after="120"/>
        <w:rPr>
          <w:sz w:val="28"/>
          <w:szCs w:val="28"/>
        </w:rPr>
      </w:pPr>
      <w:r>
        <w:rPr>
          <w:sz w:val="28"/>
          <w:szCs w:val="28"/>
        </w:rPr>
        <w:t xml:space="preserve">-But their opponents may well instead view themselves as something very different: as </w:t>
      </w:r>
      <w:proofErr w:type="spellStart"/>
      <w:r>
        <w:rPr>
          <w:sz w:val="28"/>
          <w:szCs w:val="28"/>
        </w:rPr>
        <w:t>evidentialists</w:t>
      </w:r>
      <w:proofErr w:type="spellEnd"/>
      <w:r>
        <w:rPr>
          <w:sz w:val="28"/>
          <w:szCs w:val="28"/>
        </w:rPr>
        <w:t xml:space="preserve">: “No, I’m not picking some natural sources of belief to get some kind of favored status. I don’t care about any natural sources of belief, how things appear to me, or anything like that. For me, rational justification results from having beliefs that are supported by one’s </w:t>
      </w:r>
      <w:r>
        <w:rPr>
          <w:i/>
          <w:sz w:val="28"/>
          <w:szCs w:val="28"/>
          <w:u w:val="single"/>
        </w:rPr>
        <w:t>evidence</w:t>
      </w:r>
      <w:r>
        <w:rPr>
          <w:sz w:val="28"/>
          <w:szCs w:val="28"/>
        </w:rPr>
        <w:t>!”</w:t>
      </w:r>
    </w:p>
    <w:p w:rsidR="00830C97" w:rsidRDefault="00830C97" w:rsidP="006F57AC">
      <w:pPr>
        <w:spacing w:after="120"/>
        <w:rPr>
          <w:sz w:val="28"/>
          <w:szCs w:val="28"/>
        </w:rPr>
      </w:pPr>
    </w:p>
    <w:p w:rsidR="00830C97" w:rsidRDefault="00830C97" w:rsidP="006F57AC">
      <w:pPr>
        <w:spacing w:after="120"/>
        <w:rPr>
          <w:sz w:val="28"/>
          <w:szCs w:val="28"/>
        </w:rPr>
      </w:pPr>
      <w:r>
        <w:rPr>
          <w:sz w:val="28"/>
          <w:szCs w:val="28"/>
        </w:rPr>
        <w:t>I fight this out with Descartes (or his ghost) in the long footnote (#30) on the bottom of p. 46 (spilling over a bit to the bottom of 47) of reading #22.</w:t>
      </w:r>
    </w:p>
    <w:sectPr w:rsidR="00830C97" w:rsidSect="007470FB">
      <w:pgSz w:w="12240" w:h="15840"/>
      <w:pgMar w:top="1152" w:right="1710" w:bottom="81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04DC0"/>
    <w:multiLevelType w:val="hybridMultilevel"/>
    <w:tmpl w:val="E89AE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98"/>
    <w:rsid w:val="00030DAC"/>
    <w:rsid w:val="000828E6"/>
    <w:rsid w:val="000939AB"/>
    <w:rsid w:val="000A7608"/>
    <w:rsid w:val="00102AD6"/>
    <w:rsid w:val="00120C5A"/>
    <w:rsid w:val="00182795"/>
    <w:rsid w:val="001C67E7"/>
    <w:rsid w:val="00207C68"/>
    <w:rsid w:val="002F702E"/>
    <w:rsid w:val="003154B6"/>
    <w:rsid w:val="00330D81"/>
    <w:rsid w:val="00343F67"/>
    <w:rsid w:val="003461B1"/>
    <w:rsid w:val="00361A66"/>
    <w:rsid w:val="00377713"/>
    <w:rsid w:val="003F3DA3"/>
    <w:rsid w:val="00455FCF"/>
    <w:rsid w:val="00463262"/>
    <w:rsid w:val="00481C81"/>
    <w:rsid w:val="004A504B"/>
    <w:rsid w:val="004D4B2E"/>
    <w:rsid w:val="004F1BE9"/>
    <w:rsid w:val="00540F58"/>
    <w:rsid w:val="00547E4A"/>
    <w:rsid w:val="005526CC"/>
    <w:rsid w:val="00583D5B"/>
    <w:rsid w:val="0059013F"/>
    <w:rsid w:val="005C7306"/>
    <w:rsid w:val="005D7C5C"/>
    <w:rsid w:val="005E1827"/>
    <w:rsid w:val="00623806"/>
    <w:rsid w:val="00651DB1"/>
    <w:rsid w:val="006923B3"/>
    <w:rsid w:val="006E7FB1"/>
    <w:rsid w:val="006F57AC"/>
    <w:rsid w:val="00700E0E"/>
    <w:rsid w:val="0070602A"/>
    <w:rsid w:val="007470FB"/>
    <w:rsid w:val="00756B73"/>
    <w:rsid w:val="00780FFD"/>
    <w:rsid w:val="007C3E99"/>
    <w:rsid w:val="008004B3"/>
    <w:rsid w:val="008300E5"/>
    <w:rsid w:val="00830A12"/>
    <w:rsid w:val="00830C97"/>
    <w:rsid w:val="00842EF0"/>
    <w:rsid w:val="00843339"/>
    <w:rsid w:val="00883856"/>
    <w:rsid w:val="008A0D2E"/>
    <w:rsid w:val="008D56AD"/>
    <w:rsid w:val="00907232"/>
    <w:rsid w:val="00910B1A"/>
    <w:rsid w:val="00910FF2"/>
    <w:rsid w:val="0094501E"/>
    <w:rsid w:val="009635CF"/>
    <w:rsid w:val="00991179"/>
    <w:rsid w:val="009C7FBE"/>
    <w:rsid w:val="00A43024"/>
    <w:rsid w:val="00A74993"/>
    <w:rsid w:val="00A96148"/>
    <w:rsid w:val="00B24F8D"/>
    <w:rsid w:val="00B25877"/>
    <w:rsid w:val="00C02B5D"/>
    <w:rsid w:val="00C52498"/>
    <w:rsid w:val="00C532C8"/>
    <w:rsid w:val="00C704C2"/>
    <w:rsid w:val="00C959D4"/>
    <w:rsid w:val="00CC3333"/>
    <w:rsid w:val="00CC7439"/>
    <w:rsid w:val="00CD7BA6"/>
    <w:rsid w:val="00D00159"/>
    <w:rsid w:val="00D45AFA"/>
    <w:rsid w:val="00D64435"/>
    <w:rsid w:val="00DD72DC"/>
    <w:rsid w:val="00E00D79"/>
    <w:rsid w:val="00E04775"/>
    <w:rsid w:val="00E1129A"/>
    <w:rsid w:val="00E1435C"/>
    <w:rsid w:val="00E14F30"/>
    <w:rsid w:val="00EB6980"/>
    <w:rsid w:val="00EE579D"/>
    <w:rsid w:val="00F4293F"/>
    <w:rsid w:val="00FB0825"/>
    <w:rsid w:val="00FD6E10"/>
    <w:rsid w:val="00FE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D4"/>
    <w:rPr>
      <w:rFonts w:ascii="Tahoma" w:hAnsi="Tahoma" w:cs="Tahoma"/>
      <w:sz w:val="16"/>
      <w:szCs w:val="16"/>
    </w:rPr>
  </w:style>
  <w:style w:type="character" w:customStyle="1" w:styleId="BalloonTextChar">
    <w:name w:val="Balloon Text Char"/>
    <w:basedOn w:val="DefaultParagraphFont"/>
    <w:link w:val="BalloonText"/>
    <w:uiPriority w:val="99"/>
    <w:semiHidden/>
    <w:rsid w:val="00C959D4"/>
    <w:rPr>
      <w:rFonts w:ascii="Tahoma" w:eastAsia="Times New Roman" w:hAnsi="Tahoma" w:cs="Tahoma"/>
      <w:sz w:val="16"/>
      <w:szCs w:val="16"/>
    </w:rPr>
  </w:style>
  <w:style w:type="paragraph" w:styleId="ListParagraph">
    <w:name w:val="List Paragraph"/>
    <w:basedOn w:val="Normal"/>
    <w:uiPriority w:val="34"/>
    <w:qFormat/>
    <w:rsid w:val="0094501E"/>
    <w:pPr>
      <w:ind w:left="720"/>
      <w:contextualSpacing/>
    </w:pPr>
  </w:style>
  <w:style w:type="character" w:styleId="Hyperlink">
    <w:name w:val="Hyperlink"/>
    <w:basedOn w:val="DefaultParagraphFont"/>
    <w:uiPriority w:val="99"/>
    <w:unhideWhenUsed/>
    <w:rsid w:val="005526CC"/>
    <w:rPr>
      <w:color w:val="0000FF" w:themeColor="hyperlink"/>
      <w:u w:val="single"/>
    </w:rPr>
  </w:style>
  <w:style w:type="paragraph" w:styleId="NormalWeb">
    <w:name w:val="Normal (Web)"/>
    <w:basedOn w:val="Normal"/>
    <w:uiPriority w:val="99"/>
    <w:rsid w:val="001C67E7"/>
    <w:pPr>
      <w:spacing w:after="200" w:line="276" w:lineRule="auto"/>
    </w:pPr>
    <w:rPr>
      <w:rFonts w:ascii="Cambria" w:hAnsi="Cambria"/>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D4"/>
    <w:rPr>
      <w:rFonts w:ascii="Tahoma" w:hAnsi="Tahoma" w:cs="Tahoma"/>
      <w:sz w:val="16"/>
      <w:szCs w:val="16"/>
    </w:rPr>
  </w:style>
  <w:style w:type="character" w:customStyle="1" w:styleId="BalloonTextChar">
    <w:name w:val="Balloon Text Char"/>
    <w:basedOn w:val="DefaultParagraphFont"/>
    <w:link w:val="BalloonText"/>
    <w:uiPriority w:val="99"/>
    <w:semiHidden/>
    <w:rsid w:val="00C959D4"/>
    <w:rPr>
      <w:rFonts w:ascii="Tahoma" w:eastAsia="Times New Roman" w:hAnsi="Tahoma" w:cs="Tahoma"/>
      <w:sz w:val="16"/>
      <w:szCs w:val="16"/>
    </w:rPr>
  </w:style>
  <w:style w:type="paragraph" w:styleId="ListParagraph">
    <w:name w:val="List Paragraph"/>
    <w:basedOn w:val="Normal"/>
    <w:uiPriority w:val="34"/>
    <w:qFormat/>
    <w:rsid w:val="0094501E"/>
    <w:pPr>
      <w:ind w:left="720"/>
      <w:contextualSpacing/>
    </w:pPr>
  </w:style>
  <w:style w:type="character" w:styleId="Hyperlink">
    <w:name w:val="Hyperlink"/>
    <w:basedOn w:val="DefaultParagraphFont"/>
    <w:uiPriority w:val="99"/>
    <w:unhideWhenUsed/>
    <w:rsid w:val="005526CC"/>
    <w:rPr>
      <w:color w:val="0000FF" w:themeColor="hyperlink"/>
      <w:u w:val="single"/>
    </w:rPr>
  </w:style>
  <w:style w:type="paragraph" w:styleId="NormalWeb">
    <w:name w:val="Normal (Web)"/>
    <w:basedOn w:val="Normal"/>
    <w:uiPriority w:val="99"/>
    <w:rsid w:val="001C67E7"/>
    <w:pPr>
      <w:spacing w:after="200" w:line="276" w:lineRule="auto"/>
    </w:pPr>
    <w:rPr>
      <w:rFonts w:ascii="Cambria" w:hAnsi="Cambria"/>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F4DDD-612C-4001-BBC1-18D412A3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DeRose</dc:creator>
  <cp:lastModifiedBy>DeRose, Keith</cp:lastModifiedBy>
  <cp:revision>4</cp:revision>
  <cp:lastPrinted>2015-10-28T14:59:00Z</cp:lastPrinted>
  <dcterms:created xsi:type="dcterms:W3CDTF">2017-03-07T14:14:00Z</dcterms:created>
  <dcterms:modified xsi:type="dcterms:W3CDTF">2017-03-07T15:23:00Z</dcterms:modified>
</cp:coreProperties>
</file>