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09" w:rsidRDefault="00AC0638" w:rsidP="00C51009">
      <w:pPr>
        <w:rPr>
          <w:b/>
          <w:sz w:val="28"/>
          <w:szCs w:val="28"/>
        </w:rPr>
      </w:pPr>
      <w:r>
        <w:rPr>
          <w:b/>
          <w:sz w:val="28"/>
          <w:szCs w:val="28"/>
        </w:rPr>
        <w:t>Thur</w:t>
      </w:r>
      <w:r w:rsidR="000F5D8A">
        <w:rPr>
          <w:b/>
          <w:sz w:val="28"/>
          <w:szCs w:val="28"/>
        </w:rPr>
        <w:t>sday, 3/30</w:t>
      </w:r>
      <w:r w:rsidR="00EE5BD2">
        <w:rPr>
          <w:b/>
          <w:sz w:val="28"/>
          <w:szCs w:val="28"/>
        </w:rPr>
        <w:t>/17</w:t>
      </w:r>
      <w:r w:rsidR="00A96148">
        <w:rPr>
          <w:b/>
          <w:sz w:val="28"/>
          <w:szCs w:val="28"/>
        </w:rPr>
        <w:t xml:space="preserve">: </w:t>
      </w:r>
      <w:r w:rsidR="005774E3">
        <w:rPr>
          <w:b/>
          <w:sz w:val="28"/>
          <w:szCs w:val="28"/>
        </w:rPr>
        <w:t>Pu</w:t>
      </w:r>
      <w:r w:rsidR="00EE5BD2">
        <w:rPr>
          <w:b/>
          <w:sz w:val="28"/>
          <w:szCs w:val="28"/>
        </w:rPr>
        <w:t>tnam-Style Anti-</w:t>
      </w:r>
      <w:proofErr w:type="gramStart"/>
      <w:r w:rsidR="00EE5BD2">
        <w:rPr>
          <w:b/>
          <w:sz w:val="28"/>
          <w:szCs w:val="28"/>
        </w:rPr>
        <w:t>Skepticism  --</w:t>
      </w:r>
      <w:proofErr w:type="gramEnd"/>
      <w:r w:rsidR="00EE5BD2">
        <w:rPr>
          <w:b/>
          <w:sz w:val="28"/>
          <w:szCs w:val="28"/>
        </w:rPr>
        <w:t xml:space="preserve"> Readings 15, 16</w:t>
      </w:r>
      <w:r w:rsidR="00C376E0">
        <w:rPr>
          <w:b/>
          <w:sz w:val="28"/>
          <w:szCs w:val="28"/>
        </w:rPr>
        <w:t xml:space="preserve"> </w:t>
      </w:r>
      <w:r w:rsidR="00A96148">
        <w:rPr>
          <w:b/>
          <w:sz w:val="28"/>
          <w:szCs w:val="28"/>
        </w:rPr>
        <w:t xml:space="preserve">    </w:t>
      </w:r>
      <w:r w:rsidR="00A96148" w:rsidRPr="00A96148">
        <w:rPr>
          <w:sz w:val="28"/>
          <w:szCs w:val="28"/>
        </w:rPr>
        <w:t>Phil. 270</w:t>
      </w:r>
    </w:p>
    <w:p w:rsidR="00C51009" w:rsidRDefault="00C51009" w:rsidP="00C51009">
      <w:pPr>
        <w:rPr>
          <w:b/>
          <w:sz w:val="28"/>
          <w:szCs w:val="28"/>
        </w:rPr>
      </w:pPr>
    </w:p>
    <w:p w:rsidR="001A3709" w:rsidRDefault="001A3709" w:rsidP="00C51009">
      <w:pPr>
        <w:rPr>
          <w:b/>
          <w:sz w:val="28"/>
          <w:szCs w:val="28"/>
        </w:rPr>
      </w:pPr>
      <w:r>
        <w:rPr>
          <w:b/>
          <w:sz w:val="28"/>
          <w:szCs w:val="28"/>
        </w:rPr>
        <w:t>Brains in Vats, Evil Geniuses (Deceiving Gods), Dreaming, and the Basic Skeptical Argument Based on Such “Skeptical Hypotheses”</w:t>
      </w:r>
    </w:p>
    <w:p w:rsidR="001A3709" w:rsidRDefault="001A3709" w:rsidP="00C51009">
      <w:pPr>
        <w:rPr>
          <w:sz w:val="28"/>
          <w:szCs w:val="28"/>
        </w:rPr>
      </w:pPr>
      <w:r>
        <w:rPr>
          <w:sz w:val="28"/>
          <w:szCs w:val="28"/>
        </w:rPr>
        <w:t>-skeptical hypotheses are proposals as to what our situation is that explain how we might be going wrong with respect to the things we take ourselves to know</w:t>
      </w:r>
    </w:p>
    <w:p w:rsidR="001A3709" w:rsidRDefault="001A3709" w:rsidP="00C51009">
      <w:pPr>
        <w:rPr>
          <w:sz w:val="28"/>
          <w:szCs w:val="28"/>
        </w:rPr>
      </w:pPr>
      <w:r>
        <w:rPr>
          <w:sz w:val="28"/>
          <w:szCs w:val="28"/>
        </w:rPr>
        <w:t>-The basic skeptical argument here is something I call the “Argument from Ignorance” (AI) [where ‘H’ is a skeptical hypothesis and ‘O’ is something we would ordinarily take ourselves to know]:</w:t>
      </w:r>
    </w:p>
    <w:p w:rsidR="001A3709" w:rsidRDefault="001A3709" w:rsidP="001A3709">
      <w:pPr>
        <w:ind w:left="720"/>
        <w:rPr>
          <w:sz w:val="28"/>
          <w:szCs w:val="28"/>
        </w:rPr>
      </w:pPr>
      <w:r>
        <w:rPr>
          <w:sz w:val="28"/>
          <w:szCs w:val="28"/>
        </w:rPr>
        <w:t>1. I don’t know that ~H</w:t>
      </w:r>
    </w:p>
    <w:p w:rsidR="001A3709" w:rsidRDefault="001A3709" w:rsidP="001A3709">
      <w:pPr>
        <w:ind w:left="720"/>
        <w:rPr>
          <w:sz w:val="28"/>
          <w:szCs w:val="28"/>
        </w:rPr>
      </w:pPr>
      <w:r>
        <w:rPr>
          <w:sz w:val="28"/>
          <w:szCs w:val="28"/>
        </w:rPr>
        <w:t>2. If I don’t know that ~H, then I don’t know that O</w:t>
      </w:r>
    </w:p>
    <w:p w:rsidR="001A3709" w:rsidRDefault="001A3709" w:rsidP="001A3709">
      <w:pPr>
        <w:ind w:left="720"/>
        <w:rPr>
          <w:sz w:val="28"/>
          <w:szCs w:val="28"/>
        </w:rPr>
      </w:pPr>
      <w:proofErr w:type="gramStart"/>
      <w:r>
        <w:rPr>
          <w:sz w:val="28"/>
          <w:szCs w:val="28"/>
        </w:rPr>
        <w:t>So, C.</w:t>
      </w:r>
      <w:proofErr w:type="gramEnd"/>
      <w:r>
        <w:rPr>
          <w:sz w:val="28"/>
          <w:szCs w:val="28"/>
        </w:rPr>
        <w:t xml:space="preserve"> I don’t know that O</w:t>
      </w:r>
    </w:p>
    <w:p w:rsidR="001A3709" w:rsidRDefault="001A3709" w:rsidP="001A3709">
      <w:pPr>
        <w:rPr>
          <w:sz w:val="28"/>
          <w:szCs w:val="28"/>
        </w:rPr>
      </w:pPr>
      <w:r>
        <w:rPr>
          <w:sz w:val="28"/>
          <w:szCs w:val="28"/>
        </w:rPr>
        <w:t>-“Moorean” responses attack premise 1. Putnam-inspired</w:t>
      </w:r>
      <w:r w:rsidR="007E1F9D">
        <w:rPr>
          <w:sz w:val="28"/>
          <w:szCs w:val="28"/>
        </w:rPr>
        <w:t>*</w:t>
      </w:r>
      <w:r>
        <w:rPr>
          <w:sz w:val="28"/>
          <w:szCs w:val="28"/>
        </w:rPr>
        <w:t xml:space="preserve"> responses </w:t>
      </w:r>
      <w:r w:rsidR="007E1F9D">
        <w:rPr>
          <w:sz w:val="28"/>
          <w:szCs w:val="28"/>
        </w:rPr>
        <w:t xml:space="preserve">to BIV-skepticism </w:t>
      </w:r>
      <w:r>
        <w:rPr>
          <w:sz w:val="28"/>
          <w:szCs w:val="28"/>
        </w:rPr>
        <w:t xml:space="preserve">do so </w:t>
      </w:r>
      <w:r w:rsidR="007E1F9D">
        <w:rPr>
          <w:sz w:val="28"/>
          <w:szCs w:val="28"/>
        </w:rPr>
        <w:t xml:space="preserve">by providing a </w:t>
      </w:r>
      <w:r w:rsidR="007E1F9D" w:rsidRPr="007E1F9D">
        <w:rPr>
          <w:sz w:val="28"/>
          <w:szCs w:val="28"/>
          <w:u w:val="single"/>
        </w:rPr>
        <w:t>proof</w:t>
      </w:r>
      <w:r w:rsidR="007E1F9D">
        <w:rPr>
          <w:sz w:val="28"/>
          <w:szCs w:val="28"/>
        </w:rPr>
        <w:t xml:space="preserve"> that ~H</w:t>
      </w:r>
    </w:p>
    <w:p w:rsidR="007E1F9D" w:rsidRDefault="007E1F9D" w:rsidP="007E1F9D">
      <w:pPr>
        <w:ind w:left="720"/>
        <w:rPr>
          <w:sz w:val="28"/>
          <w:szCs w:val="28"/>
        </w:rPr>
      </w:pPr>
      <w:r>
        <w:rPr>
          <w:sz w:val="28"/>
          <w:szCs w:val="28"/>
        </w:rPr>
        <w:t>*See pp. 8-9 of 16 for Putnam’s own attitude here. From here on, for convenience, I’ll just write as if Putnam himself is attacking skepticism</w:t>
      </w:r>
    </w:p>
    <w:p w:rsidR="007E1F9D" w:rsidRDefault="007E1F9D" w:rsidP="001A3709">
      <w:pPr>
        <w:rPr>
          <w:sz w:val="28"/>
          <w:szCs w:val="28"/>
        </w:rPr>
      </w:pPr>
    </w:p>
    <w:p w:rsidR="007E1F9D" w:rsidRDefault="006C4310" w:rsidP="001A3709">
      <w:pPr>
        <w:rPr>
          <w:sz w:val="28"/>
          <w:szCs w:val="28"/>
        </w:rPr>
      </w:pPr>
      <w:proofErr w:type="gramStart"/>
      <w:r w:rsidRPr="006C4310">
        <w:rPr>
          <w:b/>
          <w:sz w:val="28"/>
          <w:szCs w:val="28"/>
        </w:rPr>
        <w:t>Refuting the Skeptic</w:t>
      </w:r>
      <w:r>
        <w:rPr>
          <w:sz w:val="28"/>
          <w:szCs w:val="28"/>
        </w:rPr>
        <w:t xml:space="preserve"> [see sect. 2 of </w:t>
      </w:r>
      <w:r w:rsidR="006A1720">
        <w:rPr>
          <w:sz w:val="28"/>
          <w:szCs w:val="28"/>
        </w:rPr>
        <w:t xml:space="preserve">Reading </w:t>
      </w:r>
      <w:r>
        <w:rPr>
          <w:sz w:val="28"/>
          <w:szCs w:val="28"/>
        </w:rPr>
        <w:t>16].</w:t>
      </w:r>
      <w:proofErr w:type="gramEnd"/>
      <w:r>
        <w:rPr>
          <w:sz w:val="28"/>
          <w:szCs w:val="28"/>
        </w:rPr>
        <w:t xml:space="preserve"> </w:t>
      </w:r>
      <w:r w:rsidR="007E1F9D">
        <w:rPr>
          <w:sz w:val="28"/>
          <w:szCs w:val="28"/>
        </w:rPr>
        <w:t xml:space="preserve">Putnam’s response falls into a long tradition in which anti-skeptics attempt to </w:t>
      </w:r>
      <w:r w:rsidR="007E1F9D">
        <w:rPr>
          <w:sz w:val="28"/>
          <w:szCs w:val="28"/>
          <w:u w:val="single"/>
        </w:rPr>
        <w:t>refute</w:t>
      </w:r>
      <w:r w:rsidR="007E1F9D">
        <w:rPr>
          <w:sz w:val="28"/>
          <w:szCs w:val="28"/>
        </w:rPr>
        <w:t xml:space="preserve"> the skeptic, to </w:t>
      </w:r>
      <w:r w:rsidR="007E1F9D">
        <w:rPr>
          <w:sz w:val="28"/>
          <w:szCs w:val="28"/>
          <w:u w:val="single"/>
        </w:rPr>
        <w:t>prove</w:t>
      </w:r>
      <w:r>
        <w:rPr>
          <w:sz w:val="28"/>
          <w:szCs w:val="28"/>
        </w:rPr>
        <w:t xml:space="preserve"> that the skeptic</w:t>
      </w:r>
      <w:r w:rsidR="007E1F9D">
        <w:rPr>
          <w:sz w:val="28"/>
          <w:szCs w:val="28"/>
        </w:rPr>
        <w:t xml:space="preserve"> wrong</w:t>
      </w:r>
      <w:r>
        <w:rPr>
          <w:sz w:val="28"/>
          <w:szCs w:val="28"/>
        </w:rPr>
        <w:t xml:space="preserve">. This is done by means of arguments for anti-skeptical results [often, for the likes of O; but also often, and in Putnam’s case, for ~H], that, in order to be “proofs”, start from premises that even the skeptic does not dispute. Often the premises available for such a “proof” are limited to two classes: a) simple obvious facts about one’s own states of consciousness (what’s transpiring in one’s own mind); and b) clearly </w:t>
      </w:r>
      <w:proofErr w:type="spellStart"/>
      <w:r>
        <w:rPr>
          <w:sz w:val="28"/>
          <w:szCs w:val="28"/>
        </w:rPr>
        <w:t>intuitable</w:t>
      </w:r>
      <w:proofErr w:type="spellEnd"/>
      <w:r>
        <w:rPr>
          <w:sz w:val="28"/>
          <w:szCs w:val="28"/>
        </w:rPr>
        <w:t xml:space="preserve"> claims about facts that are metaphysically necessary.</w:t>
      </w:r>
    </w:p>
    <w:p w:rsidR="006C4310" w:rsidRPr="007E1F9D" w:rsidRDefault="006C4310" w:rsidP="001A3709">
      <w:pPr>
        <w:rPr>
          <w:sz w:val="28"/>
          <w:szCs w:val="28"/>
        </w:rPr>
      </w:pPr>
      <w:r>
        <w:rPr>
          <w:sz w:val="28"/>
          <w:szCs w:val="28"/>
        </w:rPr>
        <w:t>-example of Descartes</w:t>
      </w:r>
    </w:p>
    <w:p w:rsidR="006C4310" w:rsidRDefault="006C4310" w:rsidP="00C51009">
      <w:pPr>
        <w:rPr>
          <w:b/>
          <w:sz w:val="28"/>
          <w:szCs w:val="28"/>
        </w:rPr>
      </w:pPr>
    </w:p>
    <w:p w:rsidR="0010101C" w:rsidRDefault="009A6BD3" w:rsidP="00C51009">
      <w:pPr>
        <w:rPr>
          <w:b/>
          <w:sz w:val="28"/>
          <w:szCs w:val="28"/>
        </w:rPr>
      </w:pPr>
      <w:r>
        <w:rPr>
          <w:b/>
          <w:sz w:val="28"/>
          <w:szCs w:val="28"/>
        </w:rPr>
        <w:t>Semantic Externalism</w:t>
      </w:r>
      <w:r w:rsidR="0010101C">
        <w:rPr>
          <w:b/>
          <w:sz w:val="28"/>
          <w:szCs w:val="28"/>
        </w:rPr>
        <w:t xml:space="preserve">: </w:t>
      </w:r>
      <w:r w:rsidR="0010101C" w:rsidRPr="0010101C">
        <w:rPr>
          <w:sz w:val="28"/>
          <w:szCs w:val="28"/>
        </w:rPr>
        <w:t>the contents of at least some of one’s thoughts are not completely determined by ‘internal’ facts about what is going on inside one’s head, but are at least partially determined by such ‘external’ facts as the nature of the items one has been in contact with</w:t>
      </w:r>
    </w:p>
    <w:p w:rsidR="0010101C" w:rsidRPr="0010101C" w:rsidRDefault="0010101C" w:rsidP="00C51009">
      <w:pPr>
        <w:rPr>
          <w:sz w:val="28"/>
          <w:szCs w:val="28"/>
        </w:rPr>
      </w:pPr>
      <w:r>
        <w:rPr>
          <w:b/>
          <w:sz w:val="28"/>
          <w:szCs w:val="28"/>
        </w:rPr>
        <w:t xml:space="preserve">Causal Constraint: </w:t>
      </w:r>
      <w:r>
        <w:rPr>
          <w:sz w:val="28"/>
          <w:szCs w:val="28"/>
        </w:rPr>
        <w:t>You cannot think with certain concepts unless you have been causally connected in the proper way with items that fall under that concept</w:t>
      </w:r>
    </w:p>
    <w:p w:rsidR="00C51009" w:rsidRPr="00C51009" w:rsidRDefault="0010101C" w:rsidP="00C51009">
      <w:pPr>
        <w:rPr>
          <w:b/>
          <w:sz w:val="28"/>
          <w:szCs w:val="28"/>
        </w:rPr>
      </w:pPr>
      <w:r>
        <w:rPr>
          <w:sz w:val="28"/>
          <w:szCs w:val="28"/>
        </w:rPr>
        <w:t>-</w:t>
      </w:r>
      <w:proofErr w:type="gramStart"/>
      <w:r>
        <w:rPr>
          <w:sz w:val="28"/>
          <w:szCs w:val="28"/>
        </w:rPr>
        <w:t>i</w:t>
      </w:r>
      <w:r w:rsidR="009A6BD3" w:rsidRPr="009A6BD3">
        <w:rPr>
          <w:sz w:val="28"/>
          <w:szCs w:val="28"/>
        </w:rPr>
        <w:t>llustrated</w:t>
      </w:r>
      <w:proofErr w:type="gramEnd"/>
      <w:r w:rsidR="009A6BD3" w:rsidRPr="009A6BD3">
        <w:rPr>
          <w:sz w:val="28"/>
          <w:szCs w:val="28"/>
        </w:rPr>
        <w:t xml:space="preserve"> by Putnam’s Twin-Earth Example</w:t>
      </w:r>
      <w:r w:rsidR="007E1F9D">
        <w:rPr>
          <w:sz w:val="28"/>
          <w:szCs w:val="28"/>
        </w:rPr>
        <w:t xml:space="preserve">. </w:t>
      </w:r>
    </w:p>
    <w:p w:rsidR="00C51009" w:rsidRDefault="00C51009" w:rsidP="00C51009">
      <w:pPr>
        <w:spacing w:line="276" w:lineRule="auto"/>
        <w:rPr>
          <w:b/>
          <w:sz w:val="28"/>
          <w:szCs w:val="28"/>
        </w:rPr>
      </w:pPr>
    </w:p>
    <w:p w:rsidR="00FA4091" w:rsidRDefault="009A6BD3" w:rsidP="00C51009">
      <w:pPr>
        <w:spacing w:line="276" w:lineRule="auto"/>
        <w:rPr>
          <w:sz w:val="28"/>
          <w:szCs w:val="28"/>
        </w:rPr>
      </w:pPr>
      <w:r>
        <w:rPr>
          <w:b/>
          <w:sz w:val="28"/>
          <w:szCs w:val="28"/>
        </w:rPr>
        <w:t>Semantic Externalism Applied to the BIV Hypothesis</w:t>
      </w:r>
      <w:r w:rsidR="00FA4091">
        <w:rPr>
          <w:b/>
          <w:sz w:val="28"/>
          <w:szCs w:val="28"/>
        </w:rPr>
        <w:t xml:space="preserve"> </w:t>
      </w:r>
    </w:p>
    <w:p w:rsidR="009A6BD3" w:rsidRDefault="009A6BD3" w:rsidP="00C51009">
      <w:pPr>
        <w:rPr>
          <w:sz w:val="28"/>
          <w:szCs w:val="28"/>
        </w:rPr>
      </w:pPr>
      <w:r>
        <w:rPr>
          <w:sz w:val="28"/>
          <w:szCs w:val="28"/>
        </w:rPr>
        <w:t>-Perhaps BIVs aren’t falsely thinking such things as that they’re seeing trees or that they’re not BIVs, but are thinking such true things as that they’re “seeing” trees-in-the-image and that they are not BIVs-in-the-image</w:t>
      </w:r>
      <w:r w:rsidR="008905AD">
        <w:rPr>
          <w:sz w:val="28"/>
          <w:szCs w:val="28"/>
        </w:rPr>
        <w:t>?</w:t>
      </w:r>
    </w:p>
    <w:p w:rsidR="009A6BD3" w:rsidRDefault="009A6BD3" w:rsidP="00C51009">
      <w:pPr>
        <w:rPr>
          <w:sz w:val="28"/>
          <w:szCs w:val="28"/>
        </w:rPr>
      </w:pPr>
      <w:r>
        <w:rPr>
          <w:sz w:val="28"/>
          <w:szCs w:val="28"/>
        </w:rPr>
        <w:t>-Or perhaps they’re not having truth-evaluable thoughts at all? (37.6-.7)</w:t>
      </w:r>
    </w:p>
    <w:p w:rsidR="006A1720" w:rsidRDefault="006A1720" w:rsidP="00C51009">
      <w:pPr>
        <w:rPr>
          <w:b/>
          <w:sz w:val="28"/>
          <w:szCs w:val="28"/>
        </w:rPr>
      </w:pPr>
    </w:p>
    <w:p w:rsidR="006A1720" w:rsidRDefault="006A1720" w:rsidP="00C51009">
      <w:pPr>
        <w:rPr>
          <w:b/>
          <w:sz w:val="28"/>
          <w:szCs w:val="28"/>
        </w:rPr>
      </w:pPr>
    </w:p>
    <w:p w:rsidR="001F32C0" w:rsidRDefault="001F32C0" w:rsidP="00C51009">
      <w:pPr>
        <w:rPr>
          <w:sz w:val="28"/>
          <w:szCs w:val="28"/>
        </w:rPr>
      </w:pPr>
      <w:r>
        <w:rPr>
          <w:b/>
          <w:sz w:val="28"/>
          <w:szCs w:val="28"/>
        </w:rPr>
        <w:lastRenderedPageBreak/>
        <w:t>Dilemma Argument</w:t>
      </w:r>
      <w:r>
        <w:rPr>
          <w:sz w:val="28"/>
          <w:szCs w:val="28"/>
        </w:rPr>
        <w:t xml:space="preserve"> (as render</w:t>
      </w:r>
      <w:r w:rsidRPr="001F32C0">
        <w:rPr>
          <w:sz w:val="28"/>
          <w:szCs w:val="28"/>
        </w:rPr>
        <w:t>ed at 16, p. 14):</w:t>
      </w:r>
    </w:p>
    <w:p w:rsidR="001F32C0" w:rsidRDefault="001F32C0" w:rsidP="001F32C0">
      <w:pPr>
        <w:pStyle w:val="Quote"/>
      </w:pPr>
      <w:r w:rsidRPr="001F32C0">
        <w:t>If I am a BIV, then by, ‘I am not a BIV,’ I mean that I am not a BIV</w:t>
      </w:r>
      <w:r>
        <w:t>-</w:t>
      </w:r>
      <w:r w:rsidRPr="001F32C0">
        <w:t>in</w:t>
      </w:r>
      <w:r w:rsidRPr="001F32C0">
        <w:rPr>
          <w:rFonts w:ascii="Cambria Math" w:hAnsi="Cambria Math" w:cs="Cambria Math"/>
        </w:rPr>
        <w:t>‐</w:t>
      </w:r>
      <w:r w:rsidRPr="001F32C0">
        <w:t>the</w:t>
      </w:r>
      <w:r w:rsidRPr="001F32C0">
        <w:rPr>
          <w:rFonts w:ascii="Cambria Math" w:hAnsi="Cambria Math" w:cs="Cambria Math"/>
        </w:rPr>
        <w:t>‐</w:t>
      </w:r>
      <w:r w:rsidRPr="001F32C0">
        <w:t>image (or some closely related true thing), whi</w:t>
      </w:r>
      <w:r>
        <w:t xml:space="preserve">ch is in that case true. On the </w:t>
      </w:r>
      <w:r w:rsidRPr="001F32C0">
        <w:t>other hand, if I am not a BIV, then by ‘I am not a BIV,’ I</w:t>
      </w:r>
      <w:r>
        <w:t xml:space="preserve"> mean that I am not a BIV, </w:t>
      </w:r>
      <w:r w:rsidRPr="001F32C0">
        <w:t>which is in that case true. Thus, whether I am a BIV or</w:t>
      </w:r>
      <w:r>
        <w:t xml:space="preserve"> whether I am not, my use of ‘I </w:t>
      </w:r>
      <w:r w:rsidRPr="001F32C0">
        <w:t>am not a BIV’ is true. Either way, it’s true; so, it’s true: I’m not a BIV.</w:t>
      </w:r>
      <w:r w:rsidRPr="001F32C0">
        <w:t xml:space="preserve"> </w:t>
      </w:r>
    </w:p>
    <w:p w:rsidR="001F32C0" w:rsidRDefault="001F32C0" w:rsidP="00C51009">
      <w:pPr>
        <w:rPr>
          <w:b/>
          <w:sz w:val="28"/>
          <w:szCs w:val="28"/>
        </w:rPr>
      </w:pPr>
    </w:p>
    <w:p w:rsidR="001F32C0" w:rsidRDefault="001F32C0" w:rsidP="00C51009">
      <w:pPr>
        <w:rPr>
          <w:sz w:val="28"/>
          <w:szCs w:val="28"/>
        </w:rPr>
      </w:pPr>
      <w:r>
        <w:rPr>
          <w:b/>
          <w:sz w:val="28"/>
          <w:szCs w:val="28"/>
        </w:rPr>
        <w:t xml:space="preserve">Compatibilist Argument </w:t>
      </w:r>
      <w:r w:rsidRPr="001F32C0">
        <w:rPr>
          <w:sz w:val="28"/>
          <w:szCs w:val="28"/>
        </w:rPr>
        <w:t xml:space="preserve">(suggested at 15, p. 32.4; explained </w:t>
      </w:r>
      <w:r>
        <w:rPr>
          <w:sz w:val="28"/>
          <w:szCs w:val="28"/>
        </w:rPr>
        <w:t xml:space="preserve">here </w:t>
      </w:r>
      <w:r w:rsidRPr="001F32C0">
        <w:rPr>
          <w:sz w:val="28"/>
          <w:szCs w:val="28"/>
        </w:rPr>
        <w:t>at 16, p. 14):</w:t>
      </w:r>
    </w:p>
    <w:p w:rsidR="001F32C0" w:rsidRPr="001F32C0" w:rsidRDefault="001F32C0" w:rsidP="001F32C0">
      <w:pPr>
        <w:pStyle w:val="Quote"/>
      </w:pPr>
      <w:r>
        <w:t xml:space="preserve">[The Compatibilist Argument] </w:t>
      </w:r>
      <w:r w:rsidRPr="001F32C0">
        <w:t xml:space="preserve">combines a negative externalist claim about what </w:t>
      </w:r>
      <w:r>
        <w:t xml:space="preserve">a BIV does not (or cannot) mean </w:t>
      </w:r>
      <w:r w:rsidRPr="001F32C0">
        <w:t>or think—that by ‘tree’, ‘hand’, ‘vat’, etc., the BIV does n</w:t>
      </w:r>
      <w:r>
        <w:t xml:space="preserve">ot refer to trees, hands, vats, </w:t>
      </w:r>
      <w:r w:rsidRPr="001F32C0">
        <w:t>etc.—with a positive claim to the effect that we do</w:t>
      </w:r>
      <w:r>
        <w:t xml:space="preserve"> have the thoughts in question—</w:t>
      </w:r>
      <w:r w:rsidRPr="001F32C0">
        <w:t>the thoughts that the BIVs cannot have. These together imply that we are not BIVs.</w:t>
      </w:r>
    </w:p>
    <w:p w:rsidR="001F32C0" w:rsidRDefault="001F32C0" w:rsidP="00C51009">
      <w:pPr>
        <w:rPr>
          <w:b/>
          <w:sz w:val="28"/>
          <w:szCs w:val="28"/>
        </w:rPr>
      </w:pPr>
      <w:r>
        <w:rPr>
          <w:b/>
          <w:sz w:val="28"/>
          <w:szCs w:val="28"/>
        </w:rPr>
        <w:t xml:space="preserve"> </w:t>
      </w:r>
    </w:p>
    <w:p w:rsidR="00E778C7" w:rsidRPr="00E778C7" w:rsidRDefault="00C435B4" w:rsidP="00C51009">
      <w:pPr>
        <w:rPr>
          <w:b/>
          <w:sz w:val="28"/>
          <w:szCs w:val="28"/>
        </w:rPr>
      </w:pPr>
      <w:r>
        <w:rPr>
          <w:b/>
          <w:sz w:val="28"/>
          <w:szCs w:val="28"/>
        </w:rPr>
        <w:t>How Strong a Form of Semantic Externalism Do These Arguments Need</w:t>
      </w:r>
      <w:proofErr w:type="gramStart"/>
      <w:r>
        <w:rPr>
          <w:b/>
          <w:sz w:val="28"/>
          <w:szCs w:val="28"/>
        </w:rPr>
        <w:t>?:</w:t>
      </w:r>
      <w:proofErr w:type="gramEnd"/>
      <w:r>
        <w:rPr>
          <w:b/>
          <w:sz w:val="28"/>
          <w:szCs w:val="28"/>
        </w:rPr>
        <w:t xml:space="preserve"> </w:t>
      </w:r>
    </w:p>
    <w:p w:rsidR="00C435B4" w:rsidRDefault="00E778C7" w:rsidP="00C51009">
      <w:pPr>
        <w:rPr>
          <w:sz w:val="28"/>
          <w:szCs w:val="28"/>
        </w:rPr>
      </w:pPr>
      <w:r>
        <w:rPr>
          <w:sz w:val="28"/>
          <w:szCs w:val="28"/>
        </w:rPr>
        <w:t>-Dilemma argume</w:t>
      </w:r>
      <w:r w:rsidR="00C435B4">
        <w:rPr>
          <w:sz w:val="28"/>
          <w:szCs w:val="28"/>
        </w:rPr>
        <w:t>nt requires “high-grade” SE (16, pp.</w:t>
      </w:r>
      <w:r>
        <w:rPr>
          <w:sz w:val="28"/>
          <w:szCs w:val="28"/>
        </w:rPr>
        <w:t xml:space="preserve"> 15-16) which Putnam himself seems to have doubts about (</w:t>
      </w:r>
      <w:r w:rsidR="00C435B4">
        <w:rPr>
          <w:sz w:val="28"/>
          <w:szCs w:val="28"/>
        </w:rPr>
        <w:t xml:space="preserve">15, p. </w:t>
      </w:r>
      <w:r>
        <w:rPr>
          <w:sz w:val="28"/>
          <w:szCs w:val="28"/>
        </w:rPr>
        <w:t>37.6-.7 again)</w:t>
      </w:r>
      <w:r w:rsidR="00C435B4">
        <w:rPr>
          <w:sz w:val="28"/>
          <w:szCs w:val="28"/>
        </w:rPr>
        <w:t xml:space="preserve">. The Compatibilist Argument has a big advantage here in that it requires only a very modest form of S.E.: it can be fueled just by the causal constraint (16, pp. 16-17). Well, so long as we use Putnam’s BIV scenario. </w:t>
      </w:r>
      <w:proofErr w:type="gramStart"/>
      <w:r w:rsidR="00C435B4">
        <w:rPr>
          <w:sz w:val="28"/>
          <w:szCs w:val="28"/>
        </w:rPr>
        <w:t>But….</w:t>
      </w:r>
      <w:proofErr w:type="gramEnd"/>
    </w:p>
    <w:p w:rsidR="00C435B4" w:rsidRDefault="00C435B4" w:rsidP="00C51009">
      <w:pPr>
        <w:rPr>
          <w:sz w:val="28"/>
          <w:szCs w:val="28"/>
        </w:rPr>
      </w:pPr>
    </w:p>
    <w:p w:rsidR="00E778C7" w:rsidRDefault="00C435B4" w:rsidP="00C51009">
      <w:pPr>
        <w:rPr>
          <w:sz w:val="28"/>
          <w:szCs w:val="28"/>
        </w:rPr>
      </w:pPr>
      <w:r w:rsidRPr="00C435B4">
        <w:rPr>
          <w:b/>
          <w:sz w:val="28"/>
          <w:szCs w:val="28"/>
        </w:rPr>
        <w:t>Problem: Other BIV Scenarios:</w:t>
      </w:r>
      <w:r>
        <w:rPr>
          <w:sz w:val="28"/>
          <w:szCs w:val="28"/>
        </w:rPr>
        <w:t xml:space="preserve"> both arguments have a big problem with other </w:t>
      </w:r>
      <w:r w:rsidR="00E778C7">
        <w:rPr>
          <w:sz w:val="28"/>
          <w:szCs w:val="28"/>
        </w:rPr>
        <w:t>BIV scenarios</w:t>
      </w:r>
      <w:r>
        <w:rPr>
          <w:sz w:val="28"/>
          <w:szCs w:val="28"/>
        </w:rPr>
        <w:t xml:space="preserve">, like recent </w:t>
      </w:r>
      <w:proofErr w:type="spellStart"/>
      <w:r>
        <w:rPr>
          <w:sz w:val="28"/>
          <w:szCs w:val="28"/>
        </w:rPr>
        <w:t>envatment</w:t>
      </w:r>
      <w:proofErr w:type="spellEnd"/>
      <w:r>
        <w:rPr>
          <w:sz w:val="28"/>
          <w:szCs w:val="28"/>
        </w:rPr>
        <w:t xml:space="preserve"> versions of the BIV hypothesis</w:t>
      </w:r>
      <w:r w:rsidR="00E778C7">
        <w:rPr>
          <w:sz w:val="28"/>
          <w:szCs w:val="28"/>
        </w:rPr>
        <w:t xml:space="preserve"> (</w:t>
      </w:r>
      <w:r>
        <w:rPr>
          <w:sz w:val="28"/>
          <w:szCs w:val="28"/>
        </w:rPr>
        <w:t xml:space="preserve">16, pp. </w:t>
      </w:r>
      <w:r w:rsidR="00E778C7">
        <w:rPr>
          <w:sz w:val="28"/>
          <w:szCs w:val="28"/>
        </w:rPr>
        <w:t>17-19</w:t>
      </w:r>
      <w:r w:rsidR="00C51009">
        <w:rPr>
          <w:sz w:val="28"/>
          <w:szCs w:val="28"/>
        </w:rPr>
        <w:t>; P’s scenario is a</w:t>
      </w:r>
      <w:r>
        <w:rPr>
          <w:sz w:val="28"/>
          <w:szCs w:val="28"/>
        </w:rPr>
        <w:t>t 15, p.</w:t>
      </w:r>
      <w:r w:rsidR="00C51009">
        <w:rPr>
          <w:sz w:val="28"/>
          <w:szCs w:val="28"/>
        </w:rPr>
        <w:t xml:space="preserve"> 31.4</w:t>
      </w:r>
      <w:r w:rsidR="00E778C7">
        <w:rPr>
          <w:sz w:val="28"/>
          <w:szCs w:val="28"/>
        </w:rPr>
        <w:t>)</w:t>
      </w:r>
    </w:p>
    <w:p w:rsidR="00E778C7" w:rsidRDefault="00E778C7" w:rsidP="00C51009">
      <w:pPr>
        <w:rPr>
          <w:sz w:val="28"/>
          <w:szCs w:val="28"/>
        </w:rPr>
      </w:pPr>
    </w:p>
    <w:p w:rsidR="002E600C" w:rsidRDefault="00E778C7" w:rsidP="00C51009">
      <w:pPr>
        <w:rPr>
          <w:sz w:val="28"/>
          <w:szCs w:val="28"/>
        </w:rPr>
      </w:pPr>
      <w:r w:rsidRPr="00C51009">
        <w:rPr>
          <w:b/>
          <w:sz w:val="28"/>
          <w:szCs w:val="28"/>
        </w:rPr>
        <w:t>Refuting the Skeptic</w:t>
      </w:r>
      <w:r w:rsidR="00C51009" w:rsidRPr="00C51009">
        <w:rPr>
          <w:b/>
          <w:sz w:val="28"/>
          <w:szCs w:val="28"/>
        </w:rPr>
        <w:t xml:space="preserve"> and the Compatibilist Argument:</w:t>
      </w:r>
      <w:r w:rsidR="00C51009">
        <w:rPr>
          <w:sz w:val="28"/>
          <w:szCs w:val="28"/>
        </w:rPr>
        <w:t xml:space="preserve"> Does SE expand certainty, or doubt?</w:t>
      </w:r>
      <w:r>
        <w:rPr>
          <w:sz w:val="28"/>
          <w:szCs w:val="28"/>
        </w:rPr>
        <w:t xml:space="preserve"> </w:t>
      </w:r>
      <w:r w:rsidR="00C435B4">
        <w:rPr>
          <w:sz w:val="28"/>
          <w:szCs w:val="28"/>
        </w:rPr>
        <w:t>Given S.E., does the presumed certainty we have about our own mental states seep out into the external world (since we couldn’</w:t>
      </w:r>
      <w:r w:rsidR="006A1720">
        <w:rPr>
          <w:sz w:val="28"/>
          <w:szCs w:val="28"/>
        </w:rPr>
        <w:t>t</w:t>
      </w:r>
      <w:r w:rsidR="00C435B4">
        <w:rPr>
          <w:sz w:val="28"/>
          <w:szCs w:val="28"/>
        </w:rPr>
        <w:t xml:space="preserve"> have those thoughts without</w:t>
      </w:r>
      <w:r w:rsidR="006A1720">
        <w:rPr>
          <w:sz w:val="28"/>
          <w:szCs w:val="28"/>
        </w:rPr>
        <w:t xml:space="preserve"> the external world being certain ways), or does the presumed uncertainty of our grasp of the external world seep into our grasp of the contents of our own thoughts?!</w:t>
      </w:r>
    </w:p>
    <w:p w:rsidR="00C51009" w:rsidRDefault="00C51009" w:rsidP="00C51009">
      <w:pPr>
        <w:rPr>
          <w:sz w:val="28"/>
          <w:szCs w:val="28"/>
        </w:rPr>
      </w:pPr>
    </w:p>
    <w:p w:rsidR="00C51009" w:rsidRDefault="00C51009" w:rsidP="00C51009">
      <w:pPr>
        <w:rPr>
          <w:sz w:val="28"/>
          <w:szCs w:val="28"/>
        </w:rPr>
      </w:pPr>
      <w:r>
        <w:rPr>
          <w:b/>
          <w:sz w:val="28"/>
          <w:szCs w:val="28"/>
        </w:rPr>
        <w:t>Heroic vs. Diagnostic Responses to Skepticism</w:t>
      </w:r>
      <w:r w:rsidR="006A1720">
        <w:rPr>
          <w:b/>
          <w:sz w:val="28"/>
          <w:szCs w:val="28"/>
        </w:rPr>
        <w:t xml:space="preserve"> (sect. 6 of Reading 16)</w:t>
      </w:r>
    </w:p>
    <w:p w:rsidR="006A1720" w:rsidRDefault="006A1720" w:rsidP="006A1720">
      <w:pPr>
        <w:rPr>
          <w:sz w:val="28"/>
          <w:szCs w:val="28"/>
        </w:rPr>
      </w:pPr>
      <w:r>
        <w:rPr>
          <w:sz w:val="28"/>
          <w:szCs w:val="28"/>
        </w:rPr>
        <w:t xml:space="preserve">But suppose Putnam has “proven” that ~BIV. How does that help with our skeptical argument? What about my mom? Riff on heroic vs. diagnostic responses to skepticism. </w:t>
      </w:r>
      <w:r>
        <w:rPr>
          <w:sz w:val="28"/>
          <w:szCs w:val="28"/>
        </w:rPr>
        <w:br/>
      </w:r>
    </w:p>
    <w:p w:rsidR="0010101C" w:rsidRPr="00912AE6" w:rsidRDefault="006A1720" w:rsidP="0010101C">
      <w:pPr>
        <w:rPr>
          <w:b/>
          <w:sz w:val="28"/>
          <w:szCs w:val="28"/>
        </w:rPr>
      </w:pPr>
      <w:r>
        <w:rPr>
          <w:b/>
          <w:sz w:val="28"/>
          <w:szCs w:val="28"/>
        </w:rPr>
        <w:t>[</w:t>
      </w:r>
      <w:r w:rsidR="0010101C" w:rsidRPr="00912AE6">
        <w:rPr>
          <w:b/>
          <w:sz w:val="28"/>
          <w:szCs w:val="28"/>
        </w:rPr>
        <w:t xml:space="preserve">Putnam </w:t>
      </w:r>
      <w:r w:rsidR="0010101C">
        <w:rPr>
          <w:b/>
          <w:sz w:val="28"/>
          <w:szCs w:val="28"/>
        </w:rPr>
        <w:t xml:space="preserve">himself </w:t>
      </w:r>
      <w:r w:rsidR="0010101C" w:rsidRPr="00912AE6">
        <w:rPr>
          <w:b/>
          <w:sz w:val="28"/>
          <w:szCs w:val="28"/>
        </w:rPr>
        <w:t>and Skepticism</w:t>
      </w:r>
      <w:r>
        <w:rPr>
          <w:b/>
          <w:sz w:val="28"/>
          <w:szCs w:val="28"/>
        </w:rPr>
        <w:t>]</w:t>
      </w:r>
    </w:p>
    <w:p w:rsidR="0010101C" w:rsidRDefault="0010101C" w:rsidP="0010101C">
      <w:pPr>
        <w:rPr>
          <w:sz w:val="28"/>
          <w:szCs w:val="28"/>
        </w:rPr>
      </w:pPr>
      <w:r>
        <w:rPr>
          <w:sz w:val="28"/>
          <w:szCs w:val="28"/>
        </w:rPr>
        <w:t>-Putnam claims to being giving “an argument…that shows we are not brains in a vat”</w:t>
      </w:r>
    </w:p>
    <w:p w:rsidR="0010101C" w:rsidRDefault="0010101C" w:rsidP="0010101C">
      <w:pPr>
        <w:rPr>
          <w:sz w:val="28"/>
          <w:szCs w:val="28"/>
        </w:rPr>
      </w:pPr>
      <w:r>
        <w:rPr>
          <w:sz w:val="28"/>
          <w:szCs w:val="28"/>
        </w:rPr>
        <w:t>-but he only mentions skepticism at 31.2, and in such a way as to indicate a lack of interest: he seems more interested in “raising issues about the mind/world relationship (see KDR, 8.9-9.0)</w:t>
      </w:r>
    </w:p>
    <w:p w:rsidR="00B628A2" w:rsidRPr="006A1720" w:rsidRDefault="0010101C" w:rsidP="006A1720">
      <w:pPr>
        <w:rPr>
          <w:sz w:val="28"/>
          <w:szCs w:val="28"/>
        </w:rPr>
      </w:pPr>
      <w:r>
        <w:rPr>
          <w:sz w:val="28"/>
          <w:szCs w:val="28"/>
        </w:rPr>
        <w:t>-but then there’s the later (1994) material (about his argument being directed against “internal skepticism”) discussed at KDR 9-12</w:t>
      </w:r>
      <w:bookmarkStart w:id="0" w:name="_GoBack"/>
      <w:bookmarkEnd w:id="0"/>
    </w:p>
    <w:sectPr w:rsidR="00B628A2" w:rsidRPr="006A1720" w:rsidSect="006A1720">
      <w:footerReference w:type="default" r:id="rId9"/>
      <w:pgSz w:w="12240" w:h="15840"/>
      <w:pgMar w:top="900" w:right="1260" w:bottom="45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BA8" w:rsidRDefault="00342BA8" w:rsidP="006A1720">
      <w:r>
        <w:separator/>
      </w:r>
    </w:p>
  </w:endnote>
  <w:endnote w:type="continuationSeparator" w:id="0">
    <w:p w:rsidR="00342BA8" w:rsidRDefault="00342BA8" w:rsidP="006A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5384"/>
      <w:docPartObj>
        <w:docPartGallery w:val="Page Numbers (Bottom of Page)"/>
        <w:docPartUnique/>
      </w:docPartObj>
    </w:sdtPr>
    <w:sdtEndPr>
      <w:rPr>
        <w:noProof/>
      </w:rPr>
    </w:sdtEndPr>
    <w:sdtContent>
      <w:p w:rsidR="006A1720" w:rsidRDefault="006A17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A1720" w:rsidRDefault="006A1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BA8" w:rsidRDefault="00342BA8" w:rsidP="006A1720">
      <w:r>
        <w:separator/>
      </w:r>
    </w:p>
  </w:footnote>
  <w:footnote w:type="continuationSeparator" w:id="0">
    <w:p w:rsidR="00342BA8" w:rsidRDefault="00342BA8" w:rsidP="006A1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04DC0"/>
    <w:multiLevelType w:val="hybridMultilevel"/>
    <w:tmpl w:val="E89AE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98"/>
    <w:rsid w:val="00030DAC"/>
    <w:rsid w:val="000828E6"/>
    <w:rsid w:val="000939AB"/>
    <w:rsid w:val="000A7608"/>
    <w:rsid w:val="000F5D8A"/>
    <w:rsid w:val="0010101C"/>
    <w:rsid w:val="00102AD6"/>
    <w:rsid w:val="00120C5A"/>
    <w:rsid w:val="00182795"/>
    <w:rsid w:val="001A3709"/>
    <w:rsid w:val="001C67E7"/>
    <w:rsid w:val="001E0087"/>
    <w:rsid w:val="001F32C0"/>
    <w:rsid w:val="00207C68"/>
    <w:rsid w:val="002E600C"/>
    <w:rsid w:val="002F702E"/>
    <w:rsid w:val="003154B6"/>
    <w:rsid w:val="00330D81"/>
    <w:rsid w:val="00342BA8"/>
    <w:rsid w:val="00343F67"/>
    <w:rsid w:val="003461B1"/>
    <w:rsid w:val="00361A66"/>
    <w:rsid w:val="00377713"/>
    <w:rsid w:val="00455FCF"/>
    <w:rsid w:val="00463262"/>
    <w:rsid w:val="004731AA"/>
    <w:rsid w:val="00481C81"/>
    <w:rsid w:val="004A504B"/>
    <w:rsid w:val="004D4B2E"/>
    <w:rsid w:val="004F1BE9"/>
    <w:rsid w:val="00540F58"/>
    <w:rsid w:val="00547E4A"/>
    <w:rsid w:val="005526CC"/>
    <w:rsid w:val="005774E3"/>
    <w:rsid w:val="00583D5B"/>
    <w:rsid w:val="0059013F"/>
    <w:rsid w:val="005C7306"/>
    <w:rsid w:val="005D7C5C"/>
    <w:rsid w:val="005E1827"/>
    <w:rsid w:val="00605B30"/>
    <w:rsid w:val="00623806"/>
    <w:rsid w:val="00651DB1"/>
    <w:rsid w:val="006923B3"/>
    <w:rsid w:val="006A1720"/>
    <w:rsid w:val="006C4310"/>
    <w:rsid w:val="006D7B7B"/>
    <w:rsid w:val="006E7FB1"/>
    <w:rsid w:val="006F57AC"/>
    <w:rsid w:val="0070602A"/>
    <w:rsid w:val="00727541"/>
    <w:rsid w:val="007470FB"/>
    <w:rsid w:val="00756B73"/>
    <w:rsid w:val="00780FFD"/>
    <w:rsid w:val="007C3E99"/>
    <w:rsid w:val="007E1F9D"/>
    <w:rsid w:val="008004B3"/>
    <w:rsid w:val="008300E5"/>
    <w:rsid w:val="00830A12"/>
    <w:rsid w:val="00842EF0"/>
    <w:rsid w:val="00843339"/>
    <w:rsid w:val="00883856"/>
    <w:rsid w:val="008905AD"/>
    <w:rsid w:val="00895C02"/>
    <w:rsid w:val="008A0D2E"/>
    <w:rsid w:val="008D56AD"/>
    <w:rsid w:val="00907232"/>
    <w:rsid w:val="00910B1A"/>
    <w:rsid w:val="00910FF2"/>
    <w:rsid w:val="00912AE6"/>
    <w:rsid w:val="0094501E"/>
    <w:rsid w:val="00991179"/>
    <w:rsid w:val="009A6BD3"/>
    <w:rsid w:val="009C7FBE"/>
    <w:rsid w:val="00A43024"/>
    <w:rsid w:val="00A74993"/>
    <w:rsid w:val="00A96148"/>
    <w:rsid w:val="00AC0638"/>
    <w:rsid w:val="00B24F8D"/>
    <w:rsid w:val="00B40F0F"/>
    <w:rsid w:val="00B628A2"/>
    <w:rsid w:val="00C02B5D"/>
    <w:rsid w:val="00C376E0"/>
    <w:rsid w:val="00C435B4"/>
    <w:rsid w:val="00C51009"/>
    <w:rsid w:val="00C52498"/>
    <w:rsid w:val="00C532C8"/>
    <w:rsid w:val="00C704C2"/>
    <w:rsid w:val="00C959D4"/>
    <w:rsid w:val="00CC3333"/>
    <w:rsid w:val="00CC7439"/>
    <w:rsid w:val="00CD7BA6"/>
    <w:rsid w:val="00D45AFA"/>
    <w:rsid w:val="00D64435"/>
    <w:rsid w:val="00DD72DC"/>
    <w:rsid w:val="00E00D79"/>
    <w:rsid w:val="00E04775"/>
    <w:rsid w:val="00E1129A"/>
    <w:rsid w:val="00E1435C"/>
    <w:rsid w:val="00E14F30"/>
    <w:rsid w:val="00E3376C"/>
    <w:rsid w:val="00E778C7"/>
    <w:rsid w:val="00EA4DA6"/>
    <w:rsid w:val="00EB6980"/>
    <w:rsid w:val="00EE579D"/>
    <w:rsid w:val="00EE5BD2"/>
    <w:rsid w:val="00F4293F"/>
    <w:rsid w:val="00FA4091"/>
    <w:rsid w:val="00FB0825"/>
    <w:rsid w:val="00FD6E10"/>
    <w:rsid w:val="00FE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9D4"/>
    <w:rPr>
      <w:rFonts w:ascii="Tahoma" w:hAnsi="Tahoma" w:cs="Tahoma"/>
      <w:sz w:val="16"/>
      <w:szCs w:val="16"/>
    </w:rPr>
  </w:style>
  <w:style w:type="character" w:customStyle="1" w:styleId="BalloonTextChar">
    <w:name w:val="Balloon Text Char"/>
    <w:basedOn w:val="DefaultParagraphFont"/>
    <w:link w:val="BalloonText"/>
    <w:uiPriority w:val="99"/>
    <w:semiHidden/>
    <w:rsid w:val="00C959D4"/>
    <w:rPr>
      <w:rFonts w:ascii="Tahoma" w:eastAsia="Times New Roman" w:hAnsi="Tahoma" w:cs="Tahoma"/>
      <w:sz w:val="16"/>
      <w:szCs w:val="16"/>
    </w:rPr>
  </w:style>
  <w:style w:type="paragraph" w:styleId="ListParagraph">
    <w:name w:val="List Paragraph"/>
    <w:basedOn w:val="Normal"/>
    <w:uiPriority w:val="34"/>
    <w:qFormat/>
    <w:rsid w:val="0094501E"/>
    <w:pPr>
      <w:ind w:left="720"/>
      <w:contextualSpacing/>
    </w:pPr>
  </w:style>
  <w:style w:type="character" w:styleId="Hyperlink">
    <w:name w:val="Hyperlink"/>
    <w:basedOn w:val="DefaultParagraphFont"/>
    <w:uiPriority w:val="99"/>
    <w:unhideWhenUsed/>
    <w:rsid w:val="005526CC"/>
    <w:rPr>
      <w:color w:val="0000FF" w:themeColor="hyperlink"/>
      <w:u w:val="single"/>
    </w:rPr>
  </w:style>
  <w:style w:type="paragraph" w:styleId="NormalWeb">
    <w:name w:val="Normal (Web)"/>
    <w:basedOn w:val="Normal"/>
    <w:uiPriority w:val="99"/>
    <w:rsid w:val="001C67E7"/>
    <w:pPr>
      <w:spacing w:after="200" w:line="276" w:lineRule="auto"/>
    </w:pPr>
    <w:rPr>
      <w:rFonts w:ascii="Cambria" w:hAnsi="Cambria"/>
      <w:sz w:val="26"/>
      <w:szCs w:val="22"/>
    </w:rPr>
  </w:style>
  <w:style w:type="paragraph" w:styleId="Quote">
    <w:name w:val="Quote"/>
    <w:basedOn w:val="Normal"/>
    <w:next w:val="Normal"/>
    <w:link w:val="QuoteChar"/>
    <w:uiPriority w:val="29"/>
    <w:qFormat/>
    <w:rsid w:val="001F32C0"/>
    <w:pPr>
      <w:ind w:left="576" w:right="576"/>
    </w:pPr>
    <w:rPr>
      <w:rFonts w:ascii="Garamond" w:hAnsi="Garamond"/>
      <w:iCs/>
      <w:color w:val="000000" w:themeColor="text1"/>
    </w:rPr>
  </w:style>
  <w:style w:type="character" w:customStyle="1" w:styleId="QuoteChar">
    <w:name w:val="Quote Char"/>
    <w:basedOn w:val="DefaultParagraphFont"/>
    <w:link w:val="Quote"/>
    <w:uiPriority w:val="29"/>
    <w:rsid w:val="001F32C0"/>
    <w:rPr>
      <w:rFonts w:ascii="Garamond" w:eastAsia="Times New Roman" w:hAnsi="Garamond" w:cs="Times New Roman"/>
      <w:iCs/>
      <w:color w:val="000000" w:themeColor="text1"/>
      <w:sz w:val="24"/>
      <w:szCs w:val="24"/>
    </w:rPr>
  </w:style>
  <w:style w:type="paragraph" w:styleId="Header">
    <w:name w:val="header"/>
    <w:basedOn w:val="Normal"/>
    <w:link w:val="HeaderChar"/>
    <w:uiPriority w:val="99"/>
    <w:unhideWhenUsed/>
    <w:rsid w:val="006A1720"/>
    <w:pPr>
      <w:tabs>
        <w:tab w:val="center" w:pos="4680"/>
        <w:tab w:val="right" w:pos="9360"/>
      </w:tabs>
    </w:pPr>
  </w:style>
  <w:style w:type="character" w:customStyle="1" w:styleId="HeaderChar">
    <w:name w:val="Header Char"/>
    <w:basedOn w:val="DefaultParagraphFont"/>
    <w:link w:val="Header"/>
    <w:uiPriority w:val="99"/>
    <w:rsid w:val="006A17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1720"/>
    <w:pPr>
      <w:tabs>
        <w:tab w:val="center" w:pos="4680"/>
        <w:tab w:val="right" w:pos="9360"/>
      </w:tabs>
    </w:pPr>
  </w:style>
  <w:style w:type="character" w:customStyle="1" w:styleId="FooterChar">
    <w:name w:val="Footer Char"/>
    <w:basedOn w:val="DefaultParagraphFont"/>
    <w:link w:val="Footer"/>
    <w:uiPriority w:val="99"/>
    <w:rsid w:val="006A172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9D4"/>
    <w:rPr>
      <w:rFonts w:ascii="Tahoma" w:hAnsi="Tahoma" w:cs="Tahoma"/>
      <w:sz w:val="16"/>
      <w:szCs w:val="16"/>
    </w:rPr>
  </w:style>
  <w:style w:type="character" w:customStyle="1" w:styleId="BalloonTextChar">
    <w:name w:val="Balloon Text Char"/>
    <w:basedOn w:val="DefaultParagraphFont"/>
    <w:link w:val="BalloonText"/>
    <w:uiPriority w:val="99"/>
    <w:semiHidden/>
    <w:rsid w:val="00C959D4"/>
    <w:rPr>
      <w:rFonts w:ascii="Tahoma" w:eastAsia="Times New Roman" w:hAnsi="Tahoma" w:cs="Tahoma"/>
      <w:sz w:val="16"/>
      <w:szCs w:val="16"/>
    </w:rPr>
  </w:style>
  <w:style w:type="paragraph" w:styleId="ListParagraph">
    <w:name w:val="List Paragraph"/>
    <w:basedOn w:val="Normal"/>
    <w:uiPriority w:val="34"/>
    <w:qFormat/>
    <w:rsid w:val="0094501E"/>
    <w:pPr>
      <w:ind w:left="720"/>
      <w:contextualSpacing/>
    </w:pPr>
  </w:style>
  <w:style w:type="character" w:styleId="Hyperlink">
    <w:name w:val="Hyperlink"/>
    <w:basedOn w:val="DefaultParagraphFont"/>
    <w:uiPriority w:val="99"/>
    <w:unhideWhenUsed/>
    <w:rsid w:val="005526CC"/>
    <w:rPr>
      <w:color w:val="0000FF" w:themeColor="hyperlink"/>
      <w:u w:val="single"/>
    </w:rPr>
  </w:style>
  <w:style w:type="paragraph" w:styleId="NormalWeb">
    <w:name w:val="Normal (Web)"/>
    <w:basedOn w:val="Normal"/>
    <w:uiPriority w:val="99"/>
    <w:rsid w:val="001C67E7"/>
    <w:pPr>
      <w:spacing w:after="200" w:line="276" w:lineRule="auto"/>
    </w:pPr>
    <w:rPr>
      <w:rFonts w:ascii="Cambria" w:hAnsi="Cambria"/>
      <w:sz w:val="26"/>
      <w:szCs w:val="22"/>
    </w:rPr>
  </w:style>
  <w:style w:type="paragraph" w:styleId="Quote">
    <w:name w:val="Quote"/>
    <w:basedOn w:val="Normal"/>
    <w:next w:val="Normal"/>
    <w:link w:val="QuoteChar"/>
    <w:uiPriority w:val="29"/>
    <w:qFormat/>
    <w:rsid w:val="001F32C0"/>
    <w:pPr>
      <w:ind w:left="576" w:right="576"/>
    </w:pPr>
    <w:rPr>
      <w:rFonts w:ascii="Garamond" w:hAnsi="Garamond"/>
      <w:iCs/>
      <w:color w:val="000000" w:themeColor="text1"/>
    </w:rPr>
  </w:style>
  <w:style w:type="character" w:customStyle="1" w:styleId="QuoteChar">
    <w:name w:val="Quote Char"/>
    <w:basedOn w:val="DefaultParagraphFont"/>
    <w:link w:val="Quote"/>
    <w:uiPriority w:val="29"/>
    <w:rsid w:val="001F32C0"/>
    <w:rPr>
      <w:rFonts w:ascii="Garamond" w:eastAsia="Times New Roman" w:hAnsi="Garamond" w:cs="Times New Roman"/>
      <w:iCs/>
      <w:color w:val="000000" w:themeColor="text1"/>
      <w:sz w:val="24"/>
      <w:szCs w:val="24"/>
    </w:rPr>
  </w:style>
  <w:style w:type="paragraph" w:styleId="Header">
    <w:name w:val="header"/>
    <w:basedOn w:val="Normal"/>
    <w:link w:val="HeaderChar"/>
    <w:uiPriority w:val="99"/>
    <w:unhideWhenUsed/>
    <w:rsid w:val="006A1720"/>
    <w:pPr>
      <w:tabs>
        <w:tab w:val="center" w:pos="4680"/>
        <w:tab w:val="right" w:pos="9360"/>
      </w:tabs>
    </w:pPr>
  </w:style>
  <w:style w:type="character" w:customStyle="1" w:styleId="HeaderChar">
    <w:name w:val="Header Char"/>
    <w:basedOn w:val="DefaultParagraphFont"/>
    <w:link w:val="Header"/>
    <w:uiPriority w:val="99"/>
    <w:rsid w:val="006A17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1720"/>
    <w:pPr>
      <w:tabs>
        <w:tab w:val="center" w:pos="4680"/>
        <w:tab w:val="right" w:pos="9360"/>
      </w:tabs>
    </w:pPr>
  </w:style>
  <w:style w:type="character" w:customStyle="1" w:styleId="FooterChar">
    <w:name w:val="Footer Char"/>
    <w:basedOn w:val="DefaultParagraphFont"/>
    <w:link w:val="Footer"/>
    <w:uiPriority w:val="99"/>
    <w:rsid w:val="006A17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20218-520D-472C-90CC-85A0E05C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DeRose</dc:creator>
  <cp:lastModifiedBy>DeRose, Keith</cp:lastModifiedBy>
  <cp:revision>7</cp:revision>
  <cp:lastPrinted>2015-11-09T16:14:00Z</cp:lastPrinted>
  <dcterms:created xsi:type="dcterms:W3CDTF">2017-03-28T13:04:00Z</dcterms:created>
  <dcterms:modified xsi:type="dcterms:W3CDTF">2017-03-30T14:55:00Z</dcterms:modified>
</cp:coreProperties>
</file>