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3A" w:rsidRDefault="00A3013A" w:rsidP="00A3013A">
      <w:pPr>
        <w:jc w:val="center"/>
        <w:rPr>
          <w:b/>
          <w:sz w:val="24"/>
        </w:rPr>
      </w:pPr>
      <w:bookmarkStart w:id="0" w:name="_GoBack"/>
      <w:bookmarkEnd w:id="0"/>
    </w:p>
    <w:p w:rsidR="00A3013A" w:rsidRDefault="00A3013A" w:rsidP="002E52A5">
      <w:pPr>
        <w:rPr>
          <w:b/>
          <w:sz w:val="24"/>
        </w:rPr>
      </w:pPr>
    </w:p>
    <w:p w:rsidR="00A3013A" w:rsidRPr="002E52A5" w:rsidRDefault="00A3013A" w:rsidP="00A3013A">
      <w:pPr>
        <w:jc w:val="center"/>
        <w:rPr>
          <w:b/>
          <w:sz w:val="36"/>
          <w:szCs w:val="36"/>
        </w:rPr>
      </w:pPr>
      <w:r w:rsidRPr="002E52A5">
        <w:rPr>
          <w:b/>
          <w:sz w:val="36"/>
          <w:szCs w:val="36"/>
        </w:rPr>
        <w:t>Context for Partisan Gerrymandering of U.S. House Districts</w:t>
      </w:r>
      <w:r w:rsidR="002E52A5" w:rsidRPr="002E52A5">
        <w:rPr>
          <w:b/>
          <w:sz w:val="36"/>
          <w:szCs w:val="36"/>
        </w:rPr>
        <w:t>:</w:t>
      </w:r>
    </w:p>
    <w:p w:rsidR="00A3013A" w:rsidRPr="002E52A5" w:rsidRDefault="00A3013A" w:rsidP="00A3013A">
      <w:pPr>
        <w:jc w:val="center"/>
        <w:rPr>
          <w:b/>
          <w:sz w:val="30"/>
          <w:szCs w:val="30"/>
        </w:rPr>
      </w:pPr>
      <w:r w:rsidRPr="002E52A5">
        <w:rPr>
          <w:b/>
          <w:sz w:val="30"/>
          <w:szCs w:val="30"/>
        </w:rPr>
        <w:t>The 1970s through the 2010s</w:t>
      </w:r>
    </w:p>
    <w:p w:rsidR="002E52A5" w:rsidRDefault="002E52A5" w:rsidP="002E52A5">
      <w:pPr>
        <w:jc w:val="center"/>
        <w:rPr>
          <w:b/>
          <w:sz w:val="30"/>
          <w:szCs w:val="30"/>
        </w:rPr>
      </w:pPr>
      <w:r w:rsidRPr="002E52A5">
        <w:rPr>
          <w:b/>
          <w:sz w:val="30"/>
          <w:szCs w:val="30"/>
        </w:rPr>
        <w:t>David R. Mayhew</w:t>
      </w:r>
    </w:p>
    <w:p w:rsidR="002E52A5" w:rsidRPr="002E52A5" w:rsidRDefault="002E52A5" w:rsidP="002E52A5">
      <w:pPr>
        <w:jc w:val="center"/>
        <w:rPr>
          <w:b/>
          <w:sz w:val="30"/>
          <w:szCs w:val="30"/>
        </w:rPr>
      </w:pPr>
      <w:r w:rsidRPr="002E52A5">
        <w:rPr>
          <w:b/>
          <w:sz w:val="30"/>
          <w:szCs w:val="30"/>
        </w:rPr>
        <w:t>Yale Workshop on Redistricting</w:t>
      </w:r>
    </w:p>
    <w:p w:rsidR="002E52A5" w:rsidRDefault="002E52A5" w:rsidP="002E52A5">
      <w:pPr>
        <w:jc w:val="center"/>
        <w:rPr>
          <w:b/>
          <w:sz w:val="30"/>
          <w:szCs w:val="30"/>
        </w:rPr>
      </w:pPr>
      <w:r w:rsidRPr="002E52A5">
        <w:rPr>
          <w:b/>
          <w:sz w:val="30"/>
          <w:szCs w:val="30"/>
        </w:rPr>
        <w:t>November 2-3, 2018</w:t>
      </w:r>
    </w:p>
    <w:p w:rsidR="0073277C" w:rsidRPr="002E52A5" w:rsidRDefault="0073277C" w:rsidP="002E52A5">
      <w:pPr>
        <w:jc w:val="center"/>
        <w:rPr>
          <w:b/>
          <w:sz w:val="30"/>
          <w:szCs w:val="30"/>
        </w:rPr>
      </w:pPr>
      <w:r>
        <w:rPr>
          <w:b/>
          <w:sz w:val="30"/>
          <w:szCs w:val="30"/>
        </w:rPr>
        <w:t xml:space="preserve">(see Appendix </w:t>
      </w:r>
      <w:r w:rsidR="00597520">
        <w:rPr>
          <w:b/>
          <w:sz w:val="30"/>
          <w:szCs w:val="30"/>
        </w:rPr>
        <w:t>B</w:t>
      </w:r>
      <w:r>
        <w:rPr>
          <w:b/>
          <w:sz w:val="30"/>
          <w:szCs w:val="30"/>
        </w:rPr>
        <w:t xml:space="preserve"> for post-election recap</w:t>
      </w:r>
      <w:r w:rsidR="00680612">
        <w:rPr>
          <w:b/>
          <w:sz w:val="30"/>
          <w:szCs w:val="30"/>
        </w:rPr>
        <w:t xml:space="preserve"> 12/18/18</w:t>
      </w:r>
      <w:r>
        <w:rPr>
          <w:b/>
          <w:sz w:val="30"/>
          <w:szCs w:val="30"/>
        </w:rPr>
        <w:t>)</w:t>
      </w:r>
    </w:p>
    <w:p w:rsidR="00A3013A" w:rsidRDefault="00A3013A" w:rsidP="00A3013A">
      <w:pPr>
        <w:jc w:val="center"/>
        <w:rPr>
          <w:b/>
          <w:sz w:val="24"/>
        </w:rPr>
      </w:pPr>
    </w:p>
    <w:p w:rsidR="002E52A5" w:rsidRDefault="002E52A5" w:rsidP="002E52A5">
      <w:pPr>
        <w:jc w:val="center"/>
        <w:rPr>
          <w:b/>
          <w:sz w:val="24"/>
        </w:rPr>
      </w:pPr>
      <w:r>
        <w:rPr>
          <w:b/>
          <w:noProof/>
          <w:sz w:val="24"/>
        </w:rPr>
        <w:drawing>
          <wp:inline distT="0" distB="0" distL="0" distR="0">
            <wp:extent cx="3530600" cy="369213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80px-The_Gerry-Mander_Ed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761" cy="3701712"/>
                    </a:xfrm>
                    <a:prstGeom prst="rect">
                      <a:avLst/>
                    </a:prstGeom>
                  </pic:spPr>
                </pic:pic>
              </a:graphicData>
            </a:graphic>
          </wp:inline>
        </w:drawing>
      </w:r>
    </w:p>
    <w:p w:rsidR="00A3013A" w:rsidRPr="002E52A5" w:rsidRDefault="002E52A5" w:rsidP="00A3013A">
      <w:pPr>
        <w:jc w:val="center"/>
        <w:rPr>
          <w:b/>
          <w:sz w:val="24"/>
        </w:rPr>
      </w:pPr>
      <w:r>
        <w:rPr>
          <w:b/>
          <w:sz w:val="24"/>
        </w:rPr>
        <w:t xml:space="preserve">Elkanah Tisdale, “The Gerry-Mander,” </w:t>
      </w:r>
      <w:r>
        <w:rPr>
          <w:b/>
          <w:i/>
          <w:sz w:val="24"/>
        </w:rPr>
        <w:t>Columbian Centinel</w:t>
      </w:r>
      <w:r>
        <w:rPr>
          <w:b/>
          <w:sz w:val="24"/>
        </w:rPr>
        <w:t xml:space="preserve"> (1812)</w:t>
      </w:r>
    </w:p>
    <w:p w:rsidR="00FA4490" w:rsidRDefault="00A3013A" w:rsidP="002E52A5">
      <w:pPr>
        <w:jc w:val="center"/>
        <w:rPr>
          <w:b/>
          <w:sz w:val="24"/>
        </w:rPr>
      </w:pPr>
      <w:r>
        <w:rPr>
          <w:b/>
          <w:sz w:val="24"/>
        </w:rPr>
        <w:br w:type="page"/>
      </w:r>
    </w:p>
    <w:p w:rsidR="00FA4490" w:rsidRDefault="00461960" w:rsidP="002F5E15">
      <w:pPr>
        <w:spacing w:after="0" w:line="240" w:lineRule="auto"/>
        <w:ind w:firstLine="720"/>
        <w:rPr>
          <w:b/>
          <w:sz w:val="24"/>
        </w:rPr>
      </w:pPr>
      <w:r>
        <w:rPr>
          <w:b/>
          <w:sz w:val="24"/>
        </w:rPr>
        <w:lastRenderedPageBreak/>
        <w:t>When can partisan gerrymandering take place?  I</w:t>
      </w:r>
      <w:r w:rsidR="00FA4490">
        <w:rPr>
          <w:b/>
          <w:sz w:val="24"/>
        </w:rPr>
        <w:t xml:space="preserve">t is a </w:t>
      </w:r>
      <w:r w:rsidR="00FA4490">
        <w:rPr>
          <w:b/>
          <w:sz w:val="24"/>
          <w:u w:val="single"/>
        </w:rPr>
        <w:t>necessary</w:t>
      </w:r>
      <w:r w:rsidR="00FA4490">
        <w:rPr>
          <w:b/>
          <w:sz w:val="24"/>
        </w:rPr>
        <w:t xml:space="preserve"> condition that a single party </w:t>
      </w:r>
      <w:r w:rsidR="00152679">
        <w:rPr>
          <w:b/>
          <w:sz w:val="24"/>
        </w:rPr>
        <w:t>c</w:t>
      </w:r>
      <w:r w:rsidR="00FA4490">
        <w:rPr>
          <w:b/>
          <w:sz w:val="24"/>
        </w:rPr>
        <w:t>ontrol all the elected branches of a government</w:t>
      </w:r>
      <w:r w:rsidR="00152679">
        <w:rPr>
          <w:b/>
          <w:sz w:val="24"/>
        </w:rPr>
        <w:t xml:space="preserve"> that </w:t>
      </w:r>
      <w:r w:rsidR="00A17AC7">
        <w:rPr>
          <w:b/>
          <w:sz w:val="24"/>
        </w:rPr>
        <w:t xml:space="preserve">have </w:t>
      </w:r>
      <w:r w:rsidR="00152679">
        <w:rPr>
          <w:b/>
          <w:sz w:val="24"/>
        </w:rPr>
        <w:t>veto power</w:t>
      </w:r>
      <w:r w:rsidR="00FA4490">
        <w:rPr>
          <w:b/>
          <w:sz w:val="24"/>
        </w:rPr>
        <w:t>.   It</w:t>
      </w:r>
      <w:r>
        <w:rPr>
          <w:b/>
          <w:sz w:val="24"/>
        </w:rPr>
        <w:t>’s</w:t>
      </w:r>
      <w:r w:rsidR="00FA4490">
        <w:rPr>
          <w:b/>
          <w:sz w:val="24"/>
        </w:rPr>
        <w:t xml:space="preserve"> not a </w:t>
      </w:r>
      <w:r w:rsidR="00FA4490">
        <w:rPr>
          <w:b/>
          <w:sz w:val="24"/>
          <w:u w:val="single"/>
        </w:rPr>
        <w:t>sufficient</w:t>
      </w:r>
      <w:r w:rsidR="00FA4490">
        <w:rPr>
          <w:b/>
          <w:sz w:val="24"/>
        </w:rPr>
        <w:t xml:space="preserve"> condition, about which more below.  </w:t>
      </w:r>
    </w:p>
    <w:p w:rsidR="00152679" w:rsidRDefault="00152679" w:rsidP="00FA4490">
      <w:pPr>
        <w:spacing w:after="0" w:line="240" w:lineRule="auto"/>
        <w:rPr>
          <w:b/>
          <w:sz w:val="24"/>
        </w:rPr>
      </w:pPr>
    </w:p>
    <w:p w:rsidR="00152679" w:rsidRDefault="00152679" w:rsidP="002F5E15">
      <w:pPr>
        <w:spacing w:after="0" w:line="240" w:lineRule="auto"/>
        <w:ind w:firstLine="720"/>
        <w:rPr>
          <w:b/>
          <w:sz w:val="24"/>
        </w:rPr>
      </w:pPr>
      <w:r>
        <w:rPr>
          <w:b/>
          <w:sz w:val="24"/>
        </w:rPr>
        <w:t>But it</w:t>
      </w:r>
      <w:r w:rsidR="00461960">
        <w:rPr>
          <w:b/>
          <w:sz w:val="24"/>
        </w:rPr>
        <w:t>’s</w:t>
      </w:r>
      <w:r>
        <w:rPr>
          <w:b/>
          <w:sz w:val="24"/>
        </w:rPr>
        <w:t xml:space="preserve"> a necessary condition.  Hence the </w:t>
      </w:r>
      <w:r w:rsidR="004372F2">
        <w:rPr>
          <w:b/>
          <w:sz w:val="24"/>
        </w:rPr>
        <w:t xml:space="preserve">possible </w:t>
      </w:r>
      <w:r>
        <w:rPr>
          <w:b/>
          <w:sz w:val="24"/>
        </w:rPr>
        <w:t xml:space="preserve">utility of a metric </w:t>
      </w:r>
      <w:r w:rsidR="00461960">
        <w:rPr>
          <w:b/>
          <w:sz w:val="24"/>
        </w:rPr>
        <w:t xml:space="preserve">clocking </w:t>
      </w:r>
      <w:r>
        <w:rPr>
          <w:b/>
          <w:sz w:val="24"/>
        </w:rPr>
        <w:t>the incidence of that</w:t>
      </w:r>
      <w:r w:rsidR="00461960">
        <w:rPr>
          <w:b/>
          <w:sz w:val="24"/>
        </w:rPr>
        <w:t xml:space="preserve"> </w:t>
      </w:r>
      <w:r>
        <w:rPr>
          <w:b/>
          <w:sz w:val="24"/>
        </w:rPr>
        <w:t xml:space="preserve">condition.   In </w:t>
      </w:r>
      <w:r w:rsidR="00461960">
        <w:rPr>
          <w:b/>
          <w:sz w:val="24"/>
        </w:rPr>
        <w:t xml:space="preserve">the </w:t>
      </w:r>
      <w:r>
        <w:rPr>
          <w:b/>
          <w:sz w:val="24"/>
        </w:rPr>
        <w:t xml:space="preserve">drawing </w:t>
      </w:r>
      <w:r w:rsidR="00461960">
        <w:rPr>
          <w:b/>
          <w:sz w:val="24"/>
        </w:rPr>
        <w:t xml:space="preserve">of </w:t>
      </w:r>
      <w:r>
        <w:rPr>
          <w:b/>
          <w:sz w:val="24"/>
        </w:rPr>
        <w:t xml:space="preserve">U.S. House districts, how </w:t>
      </w:r>
      <w:r w:rsidR="004A22F1">
        <w:rPr>
          <w:b/>
          <w:sz w:val="24"/>
        </w:rPr>
        <w:t xml:space="preserve">has </w:t>
      </w:r>
      <w:r>
        <w:rPr>
          <w:b/>
          <w:sz w:val="24"/>
        </w:rPr>
        <w:t>such a metric play</w:t>
      </w:r>
      <w:r w:rsidR="004A22F1">
        <w:rPr>
          <w:b/>
          <w:sz w:val="24"/>
        </w:rPr>
        <w:t>ed</w:t>
      </w:r>
      <w:r>
        <w:rPr>
          <w:b/>
          <w:sz w:val="24"/>
        </w:rPr>
        <w:t xml:space="preserve"> out since the 1960s</w:t>
      </w:r>
      <w:r w:rsidR="004A22F1">
        <w:rPr>
          <w:b/>
          <w:sz w:val="24"/>
        </w:rPr>
        <w:t xml:space="preserve">?  </w:t>
      </w:r>
      <w:r w:rsidR="002F5E15">
        <w:rPr>
          <w:b/>
          <w:sz w:val="24"/>
        </w:rPr>
        <w:t xml:space="preserve">At that time, </w:t>
      </w:r>
      <w:r w:rsidR="004A22F1">
        <w:rPr>
          <w:b/>
          <w:sz w:val="24"/>
        </w:rPr>
        <w:t xml:space="preserve">the Supreme Court shook the state legislatures into </w:t>
      </w:r>
      <w:r w:rsidR="000C4796">
        <w:rPr>
          <w:b/>
          <w:sz w:val="24"/>
        </w:rPr>
        <w:t xml:space="preserve">overhauling their </w:t>
      </w:r>
      <w:r w:rsidR="004A22F1">
        <w:rPr>
          <w:b/>
          <w:sz w:val="24"/>
        </w:rPr>
        <w:t xml:space="preserve">state maps each </w:t>
      </w:r>
      <w:r w:rsidR="00F71A28">
        <w:rPr>
          <w:b/>
          <w:sz w:val="24"/>
        </w:rPr>
        <w:t xml:space="preserve">new </w:t>
      </w:r>
      <w:r w:rsidR="004A22F1">
        <w:rPr>
          <w:b/>
          <w:sz w:val="24"/>
        </w:rPr>
        <w:t xml:space="preserve">decade.  Five times we have </w:t>
      </w:r>
      <w:r w:rsidR="00461960">
        <w:rPr>
          <w:b/>
          <w:sz w:val="24"/>
        </w:rPr>
        <w:t xml:space="preserve">seen </w:t>
      </w:r>
      <w:r w:rsidR="004A22F1">
        <w:rPr>
          <w:b/>
          <w:sz w:val="24"/>
        </w:rPr>
        <w:t xml:space="preserve">a </w:t>
      </w:r>
      <w:r w:rsidR="00461960">
        <w:rPr>
          <w:b/>
          <w:sz w:val="24"/>
        </w:rPr>
        <w:t>f</w:t>
      </w:r>
      <w:r w:rsidR="004A22F1">
        <w:rPr>
          <w:b/>
          <w:sz w:val="24"/>
        </w:rPr>
        <w:t xml:space="preserve">amiliar rhythm.  A </w:t>
      </w:r>
      <w:r w:rsidR="00C32A12">
        <w:rPr>
          <w:b/>
          <w:sz w:val="24"/>
        </w:rPr>
        <w:t xml:space="preserve">national </w:t>
      </w:r>
      <w:r w:rsidR="004A22F1">
        <w:rPr>
          <w:b/>
          <w:sz w:val="24"/>
        </w:rPr>
        <w:t xml:space="preserve">Census </w:t>
      </w:r>
      <w:r w:rsidR="00461960">
        <w:rPr>
          <w:b/>
          <w:sz w:val="24"/>
        </w:rPr>
        <w:t xml:space="preserve">occurs </w:t>
      </w:r>
      <w:r w:rsidR="004A22F1">
        <w:rPr>
          <w:b/>
          <w:sz w:val="24"/>
        </w:rPr>
        <w:t xml:space="preserve">in a year ending in a zero.  New </w:t>
      </w:r>
      <w:r w:rsidR="009743AB">
        <w:rPr>
          <w:b/>
          <w:sz w:val="24"/>
        </w:rPr>
        <w:t xml:space="preserve">district </w:t>
      </w:r>
      <w:r w:rsidR="004A22F1">
        <w:rPr>
          <w:b/>
          <w:sz w:val="24"/>
        </w:rPr>
        <w:t xml:space="preserve">maps are drawn </w:t>
      </w:r>
      <w:r w:rsidR="009743AB">
        <w:rPr>
          <w:b/>
          <w:sz w:val="24"/>
        </w:rPr>
        <w:t xml:space="preserve">during </w:t>
      </w:r>
      <w:r w:rsidR="004A22F1">
        <w:rPr>
          <w:b/>
          <w:sz w:val="24"/>
        </w:rPr>
        <w:t>years ending in X1</w:t>
      </w:r>
      <w:r w:rsidR="009743AB">
        <w:rPr>
          <w:b/>
          <w:sz w:val="24"/>
        </w:rPr>
        <w:t xml:space="preserve">-X2.  The new </w:t>
      </w:r>
      <w:r w:rsidR="004A22F1">
        <w:rPr>
          <w:b/>
          <w:sz w:val="24"/>
        </w:rPr>
        <w:t>maps are deployed in a</w:t>
      </w:r>
      <w:r w:rsidR="009743AB">
        <w:rPr>
          <w:b/>
          <w:sz w:val="24"/>
        </w:rPr>
        <w:t xml:space="preserve"> November </w:t>
      </w:r>
      <w:r w:rsidR="004A22F1">
        <w:rPr>
          <w:b/>
          <w:sz w:val="24"/>
        </w:rPr>
        <w:t xml:space="preserve">election </w:t>
      </w:r>
      <w:r w:rsidR="009743AB">
        <w:rPr>
          <w:b/>
          <w:sz w:val="24"/>
        </w:rPr>
        <w:t>in a year</w:t>
      </w:r>
      <w:r w:rsidR="004A22F1">
        <w:rPr>
          <w:b/>
          <w:sz w:val="24"/>
        </w:rPr>
        <w:t xml:space="preserve"> ending </w:t>
      </w:r>
      <w:r w:rsidR="003D1543">
        <w:rPr>
          <w:b/>
          <w:sz w:val="24"/>
        </w:rPr>
        <w:t xml:space="preserve">in </w:t>
      </w:r>
      <w:r w:rsidR="004A22F1">
        <w:rPr>
          <w:b/>
          <w:sz w:val="24"/>
        </w:rPr>
        <w:t>X2.  Generally speaking, the</w:t>
      </w:r>
      <w:r w:rsidR="009743AB">
        <w:rPr>
          <w:b/>
          <w:sz w:val="24"/>
        </w:rPr>
        <w:t>se</w:t>
      </w:r>
      <w:r w:rsidR="004A22F1">
        <w:rPr>
          <w:b/>
          <w:sz w:val="24"/>
        </w:rPr>
        <w:t xml:space="preserve"> maps stay in place </w:t>
      </w:r>
      <w:r w:rsidR="000C4796">
        <w:rPr>
          <w:b/>
          <w:sz w:val="24"/>
        </w:rPr>
        <w:t xml:space="preserve">during </w:t>
      </w:r>
      <w:r w:rsidR="009743AB">
        <w:rPr>
          <w:b/>
          <w:sz w:val="24"/>
        </w:rPr>
        <w:t xml:space="preserve">a decade’s </w:t>
      </w:r>
      <w:r w:rsidR="00461960">
        <w:rPr>
          <w:b/>
          <w:sz w:val="24"/>
        </w:rPr>
        <w:t>next four e</w:t>
      </w:r>
      <w:r w:rsidR="004A22F1">
        <w:rPr>
          <w:b/>
          <w:sz w:val="24"/>
        </w:rPr>
        <w:t>lection years</w:t>
      </w:r>
      <w:r w:rsidR="003D1543">
        <w:rPr>
          <w:b/>
          <w:sz w:val="24"/>
        </w:rPr>
        <w:t xml:space="preserve"> ending in</w:t>
      </w:r>
      <w:r w:rsidR="004A22F1">
        <w:rPr>
          <w:b/>
          <w:sz w:val="24"/>
        </w:rPr>
        <w:t xml:space="preserve"> X4, X4, X8, and X0.  </w:t>
      </w:r>
      <w:r w:rsidR="009743AB">
        <w:rPr>
          <w:b/>
          <w:sz w:val="24"/>
        </w:rPr>
        <w:t xml:space="preserve">Often, geographic tinkering occurs after year X2, but the maps drawn in advance of year X2 have </w:t>
      </w:r>
      <w:r w:rsidR="000C4796">
        <w:rPr>
          <w:b/>
          <w:sz w:val="24"/>
        </w:rPr>
        <w:t xml:space="preserve">a good deal of </w:t>
      </w:r>
      <w:r w:rsidR="009743AB">
        <w:rPr>
          <w:b/>
          <w:sz w:val="24"/>
        </w:rPr>
        <w:t xml:space="preserve">lasting power.  Lucky is the party that wins a </w:t>
      </w:r>
      <w:r w:rsidR="003A3A65">
        <w:rPr>
          <w:b/>
          <w:sz w:val="24"/>
        </w:rPr>
        <w:t xml:space="preserve">national </w:t>
      </w:r>
      <w:r w:rsidR="009743AB">
        <w:rPr>
          <w:b/>
          <w:sz w:val="24"/>
        </w:rPr>
        <w:t xml:space="preserve">landslide election victory in a year ending in X0, as did the Republicans in 2010, allowing them to redraw many district maps in advance of </w:t>
      </w:r>
      <w:r w:rsidR="00A17AC7">
        <w:rPr>
          <w:b/>
          <w:sz w:val="24"/>
        </w:rPr>
        <w:t xml:space="preserve">November </w:t>
      </w:r>
      <w:r w:rsidR="009743AB">
        <w:rPr>
          <w:b/>
          <w:sz w:val="24"/>
        </w:rPr>
        <w:t xml:space="preserve">2012.  </w:t>
      </w:r>
    </w:p>
    <w:p w:rsidR="00943C47" w:rsidRDefault="00943C47" w:rsidP="00FA4490">
      <w:pPr>
        <w:spacing w:after="0" w:line="240" w:lineRule="auto"/>
        <w:rPr>
          <w:b/>
          <w:sz w:val="24"/>
        </w:rPr>
      </w:pPr>
    </w:p>
    <w:p w:rsidR="00943C47" w:rsidRDefault="00943C47" w:rsidP="002F5E15">
      <w:pPr>
        <w:spacing w:after="0" w:line="240" w:lineRule="auto"/>
        <w:ind w:firstLine="720"/>
        <w:rPr>
          <w:b/>
          <w:sz w:val="24"/>
        </w:rPr>
      </w:pPr>
      <w:r>
        <w:rPr>
          <w:b/>
          <w:sz w:val="24"/>
        </w:rPr>
        <w:t xml:space="preserve">Under inspection here is </w:t>
      </w:r>
      <w:r>
        <w:rPr>
          <w:b/>
          <w:sz w:val="24"/>
          <w:u w:val="single"/>
        </w:rPr>
        <w:t>partisan</w:t>
      </w:r>
      <w:r>
        <w:rPr>
          <w:b/>
          <w:sz w:val="24"/>
        </w:rPr>
        <w:t xml:space="preserve"> gerrymandering.  I bypass other patterns of gerrymandering</w:t>
      </w:r>
      <w:r w:rsidR="00D919B8">
        <w:rPr>
          <w:b/>
          <w:sz w:val="24"/>
        </w:rPr>
        <w:t>,</w:t>
      </w:r>
      <w:r>
        <w:rPr>
          <w:b/>
          <w:sz w:val="24"/>
        </w:rPr>
        <w:t xml:space="preserve"> such as bipartisan deals and</w:t>
      </w:r>
      <w:r w:rsidR="00D919B8">
        <w:rPr>
          <w:b/>
          <w:sz w:val="24"/>
        </w:rPr>
        <w:t xml:space="preserve"> </w:t>
      </w:r>
      <w:r>
        <w:rPr>
          <w:b/>
          <w:sz w:val="24"/>
        </w:rPr>
        <w:t>individual</w:t>
      </w:r>
      <w:r w:rsidR="00D919B8">
        <w:rPr>
          <w:b/>
          <w:sz w:val="24"/>
        </w:rPr>
        <w:t>-</w:t>
      </w:r>
      <w:r>
        <w:rPr>
          <w:b/>
          <w:sz w:val="24"/>
        </w:rPr>
        <w:t xml:space="preserve">incumbent deals, which </w:t>
      </w:r>
      <w:r w:rsidR="004B674E">
        <w:rPr>
          <w:b/>
          <w:sz w:val="24"/>
        </w:rPr>
        <w:t xml:space="preserve">can </w:t>
      </w:r>
      <w:r w:rsidR="00A17AC7">
        <w:rPr>
          <w:b/>
          <w:sz w:val="24"/>
        </w:rPr>
        <w:t xml:space="preserve">offer </w:t>
      </w:r>
      <w:r>
        <w:rPr>
          <w:b/>
          <w:sz w:val="24"/>
        </w:rPr>
        <w:t xml:space="preserve">their own kinds of strategies and pathologies.  At issue is thumb-on-the-scale partisan advantage.  </w:t>
      </w:r>
    </w:p>
    <w:p w:rsidR="00F44B8A" w:rsidRDefault="00F44B8A" w:rsidP="00FA4490">
      <w:pPr>
        <w:spacing w:after="0" w:line="240" w:lineRule="auto"/>
        <w:rPr>
          <w:b/>
          <w:sz w:val="24"/>
        </w:rPr>
      </w:pPr>
    </w:p>
    <w:p w:rsidR="00C32A12" w:rsidRDefault="003E643C" w:rsidP="002F5E15">
      <w:pPr>
        <w:spacing w:after="0" w:line="240" w:lineRule="auto"/>
        <w:ind w:firstLine="720"/>
        <w:rPr>
          <w:b/>
          <w:sz w:val="24"/>
        </w:rPr>
      </w:pPr>
      <w:r>
        <w:rPr>
          <w:b/>
          <w:sz w:val="24"/>
        </w:rPr>
        <w:t xml:space="preserve">It is worth stating that partisan </w:t>
      </w:r>
      <w:r w:rsidR="00F44B8A">
        <w:rPr>
          <w:b/>
          <w:sz w:val="24"/>
        </w:rPr>
        <w:t>gerrymandering is not a new thing</w:t>
      </w:r>
      <w:r>
        <w:rPr>
          <w:b/>
          <w:sz w:val="24"/>
        </w:rPr>
        <w:t>.  Notw</w:t>
      </w:r>
      <w:r w:rsidR="00F44B8A">
        <w:rPr>
          <w:b/>
          <w:sz w:val="24"/>
        </w:rPr>
        <w:t xml:space="preserve">ithstanding the </w:t>
      </w:r>
      <w:r w:rsidR="00A627C2">
        <w:rPr>
          <w:b/>
          <w:sz w:val="24"/>
        </w:rPr>
        <w:t xml:space="preserve">brutalism and </w:t>
      </w:r>
      <w:r w:rsidR="00A17AC7">
        <w:rPr>
          <w:b/>
          <w:sz w:val="24"/>
        </w:rPr>
        <w:t xml:space="preserve">high-tech </w:t>
      </w:r>
      <w:r w:rsidR="00A627C2">
        <w:rPr>
          <w:b/>
          <w:sz w:val="24"/>
        </w:rPr>
        <w:t xml:space="preserve">maps of the </w:t>
      </w:r>
      <w:r w:rsidR="00F44B8A">
        <w:rPr>
          <w:b/>
          <w:sz w:val="24"/>
        </w:rPr>
        <w:t xml:space="preserve">current </w:t>
      </w:r>
      <w:r w:rsidR="00A627C2">
        <w:rPr>
          <w:b/>
          <w:sz w:val="24"/>
        </w:rPr>
        <w:t>decade, t</w:t>
      </w:r>
      <w:r w:rsidR="00F44B8A">
        <w:rPr>
          <w:b/>
          <w:sz w:val="24"/>
        </w:rPr>
        <w:t>he practice goes well back into the nineteenth century.  It would be hard to beat Ohio of the 1880s and 1890s.</w:t>
      </w:r>
      <w:r w:rsidR="00A627C2">
        <w:rPr>
          <w:b/>
          <w:sz w:val="24"/>
        </w:rPr>
        <w:t xml:space="preserve">  Still legendary is </w:t>
      </w:r>
      <w:r w:rsidR="00461960">
        <w:rPr>
          <w:b/>
          <w:sz w:val="24"/>
        </w:rPr>
        <w:t xml:space="preserve">Phil Burton’s California map of </w:t>
      </w:r>
      <w:r w:rsidR="00944C83">
        <w:rPr>
          <w:b/>
          <w:sz w:val="24"/>
        </w:rPr>
        <w:t>1981-8</w:t>
      </w:r>
      <w:r w:rsidR="00461960">
        <w:rPr>
          <w:b/>
          <w:sz w:val="24"/>
        </w:rPr>
        <w:t>2—</w:t>
      </w:r>
      <w:r w:rsidR="002F5E15">
        <w:rPr>
          <w:b/>
          <w:sz w:val="24"/>
        </w:rPr>
        <w:t xml:space="preserve">it predated computer wizardry—which helped </w:t>
      </w:r>
      <w:r w:rsidR="00A627C2">
        <w:rPr>
          <w:b/>
          <w:sz w:val="24"/>
        </w:rPr>
        <w:t xml:space="preserve">loft that </w:t>
      </w:r>
      <w:r w:rsidR="00F44B8A">
        <w:rPr>
          <w:b/>
          <w:sz w:val="24"/>
        </w:rPr>
        <w:t xml:space="preserve">state’s Democrats </w:t>
      </w:r>
      <w:r w:rsidR="00A627C2">
        <w:rPr>
          <w:b/>
          <w:sz w:val="24"/>
        </w:rPr>
        <w:t>fr</w:t>
      </w:r>
      <w:r w:rsidR="00F44B8A">
        <w:rPr>
          <w:b/>
          <w:sz w:val="24"/>
        </w:rPr>
        <w:t xml:space="preserve">om a 22-21 </w:t>
      </w:r>
      <w:r w:rsidR="002F5E15">
        <w:rPr>
          <w:b/>
          <w:sz w:val="24"/>
        </w:rPr>
        <w:t xml:space="preserve">House seat edge </w:t>
      </w:r>
      <w:r w:rsidR="00F44B8A">
        <w:rPr>
          <w:b/>
          <w:sz w:val="24"/>
        </w:rPr>
        <w:t>in</w:t>
      </w:r>
      <w:r w:rsidR="00A627C2">
        <w:rPr>
          <w:b/>
          <w:sz w:val="24"/>
        </w:rPr>
        <w:t xml:space="preserve"> </w:t>
      </w:r>
      <w:r w:rsidR="003A4901">
        <w:rPr>
          <w:b/>
          <w:sz w:val="24"/>
        </w:rPr>
        <w:t>1980</w:t>
      </w:r>
      <w:r w:rsidR="00F44B8A">
        <w:rPr>
          <w:b/>
          <w:sz w:val="24"/>
        </w:rPr>
        <w:t xml:space="preserve"> to a 27-18 </w:t>
      </w:r>
      <w:r w:rsidR="00A627C2">
        <w:rPr>
          <w:b/>
          <w:sz w:val="24"/>
        </w:rPr>
        <w:t xml:space="preserve">edge </w:t>
      </w:r>
      <w:r w:rsidR="00F44B8A">
        <w:rPr>
          <w:b/>
          <w:sz w:val="24"/>
        </w:rPr>
        <w:t xml:space="preserve">in 1982.  </w:t>
      </w:r>
    </w:p>
    <w:p w:rsidR="00F44B8A" w:rsidRDefault="00F44B8A" w:rsidP="00FA4490">
      <w:pPr>
        <w:spacing w:after="0" w:line="240" w:lineRule="auto"/>
        <w:rPr>
          <w:b/>
          <w:sz w:val="24"/>
        </w:rPr>
      </w:pPr>
    </w:p>
    <w:p w:rsidR="00C32A12" w:rsidRDefault="00C32A12" w:rsidP="002F5E15">
      <w:pPr>
        <w:spacing w:after="0" w:line="240" w:lineRule="auto"/>
        <w:ind w:firstLine="720"/>
        <w:rPr>
          <w:b/>
          <w:sz w:val="24"/>
        </w:rPr>
      </w:pPr>
      <w:r>
        <w:rPr>
          <w:b/>
          <w:sz w:val="24"/>
        </w:rPr>
        <w:t xml:space="preserve">The condition of single-party control needs clearer specification. </w:t>
      </w:r>
      <w:r w:rsidR="00A01FD6">
        <w:rPr>
          <w:b/>
          <w:sz w:val="24"/>
        </w:rPr>
        <w:t xml:space="preserve"> Conventionally, i</w:t>
      </w:r>
      <w:r w:rsidR="002D29BC">
        <w:rPr>
          <w:b/>
          <w:sz w:val="24"/>
        </w:rPr>
        <w:t xml:space="preserve">n the American context, it means that a party controls </w:t>
      </w:r>
      <w:r w:rsidR="00A01FD6">
        <w:rPr>
          <w:b/>
          <w:sz w:val="24"/>
        </w:rPr>
        <w:t>all three of a state’s e</w:t>
      </w:r>
      <w:r w:rsidR="002D29BC">
        <w:rPr>
          <w:b/>
          <w:sz w:val="24"/>
        </w:rPr>
        <w:t xml:space="preserve">lected institutions—its governorship, </w:t>
      </w:r>
      <w:r w:rsidR="00A01FD6">
        <w:rPr>
          <w:b/>
          <w:sz w:val="24"/>
        </w:rPr>
        <w:t xml:space="preserve">its state senate </w:t>
      </w:r>
      <w:r w:rsidR="002D29BC">
        <w:rPr>
          <w:b/>
          <w:sz w:val="24"/>
        </w:rPr>
        <w:t>majority</w:t>
      </w:r>
      <w:r w:rsidR="00A01FD6">
        <w:rPr>
          <w:b/>
          <w:sz w:val="24"/>
        </w:rPr>
        <w:t xml:space="preserve">, and its state assembly majority.  </w:t>
      </w:r>
      <w:r w:rsidR="002D29BC">
        <w:rPr>
          <w:b/>
          <w:sz w:val="24"/>
        </w:rPr>
        <w:t xml:space="preserve">But there are wrinkles.  I </w:t>
      </w:r>
      <w:r w:rsidR="00A01FD6">
        <w:rPr>
          <w:b/>
          <w:sz w:val="24"/>
        </w:rPr>
        <w:t xml:space="preserve">try </w:t>
      </w:r>
      <w:r w:rsidR="002D29BC">
        <w:rPr>
          <w:b/>
          <w:sz w:val="24"/>
        </w:rPr>
        <w:t xml:space="preserve">to </w:t>
      </w:r>
      <w:r w:rsidR="00696FC0">
        <w:rPr>
          <w:b/>
          <w:sz w:val="24"/>
        </w:rPr>
        <w:t xml:space="preserve">accommodate them.  </w:t>
      </w:r>
      <w:r w:rsidR="00A01FD6">
        <w:rPr>
          <w:b/>
          <w:sz w:val="24"/>
        </w:rPr>
        <w:t>S</w:t>
      </w:r>
      <w:r w:rsidR="002D29BC">
        <w:rPr>
          <w:b/>
          <w:sz w:val="24"/>
        </w:rPr>
        <w:t xml:space="preserve">ingle-party control </w:t>
      </w:r>
      <w:r w:rsidR="00A01FD6">
        <w:rPr>
          <w:b/>
          <w:sz w:val="24"/>
        </w:rPr>
        <w:t xml:space="preserve">should </w:t>
      </w:r>
      <w:r w:rsidR="002C033E">
        <w:rPr>
          <w:b/>
          <w:sz w:val="24"/>
        </w:rPr>
        <w:t xml:space="preserve">also </w:t>
      </w:r>
      <w:r w:rsidR="00696FC0">
        <w:rPr>
          <w:b/>
          <w:sz w:val="24"/>
        </w:rPr>
        <w:t xml:space="preserve">include </w:t>
      </w:r>
      <w:r w:rsidR="00A01FD6">
        <w:rPr>
          <w:b/>
          <w:sz w:val="24"/>
        </w:rPr>
        <w:t xml:space="preserve">cases </w:t>
      </w:r>
      <w:r w:rsidR="002D29BC">
        <w:rPr>
          <w:b/>
          <w:sz w:val="24"/>
        </w:rPr>
        <w:t xml:space="preserve">where a party </w:t>
      </w:r>
      <w:r w:rsidR="00A01FD6">
        <w:rPr>
          <w:b/>
          <w:sz w:val="24"/>
        </w:rPr>
        <w:t xml:space="preserve">has </w:t>
      </w:r>
      <w:r w:rsidR="002D29BC">
        <w:rPr>
          <w:b/>
          <w:sz w:val="24"/>
        </w:rPr>
        <w:t xml:space="preserve">two-thirds majorities in both of a state’s legislative houses, </w:t>
      </w:r>
      <w:r w:rsidR="00696FC0">
        <w:rPr>
          <w:b/>
          <w:sz w:val="24"/>
        </w:rPr>
        <w:t xml:space="preserve">thus, </w:t>
      </w:r>
      <w:r w:rsidR="002D29BC">
        <w:rPr>
          <w:b/>
          <w:sz w:val="24"/>
        </w:rPr>
        <w:t xml:space="preserve">assuming a </w:t>
      </w:r>
      <w:r w:rsidR="002C033E">
        <w:rPr>
          <w:b/>
          <w:sz w:val="24"/>
        </w:rPr>
        <w:t xml:space="preserve">conventional </w:t>
      </w:r>
      <w:r w:rsidR="002D29BC">
        <w:rPr>
          <w:b/>
          <w:sz w:val="24"/>
        </w:rPr>
        <w:t xml:space="preserve">two-thirds veto rule (I haven’t tracked </w:t>
      </w:r>
      <w:r w:rsidR="002C033E">
        <w:rPr>
          <w:b/>
          <w:sz w:val="24"/>
        </w:rPr>
        <w:t xml:space="preserve">all </w:t>
      </w:r>
      <w:r w:rsidR="002D29BC">
        <w:rPr>
          <w:b/>
          <w:sz w:val="24"/>
        </w:rPr>
        <w:t xml:space="preserve">the state constitutions on this point), </w:t>
      </w:r>
      <w:r w:rsidR="0007621A">
        <w:rPr>
          <w:b/>
          <w:sz w:val="24"/>
        </w:rPr>
        <w:t xml:space="preserve">demoting </w:t>
      </w:r>
      <w:r w:rsidR="0013149C">
        <w:rPr>
          <w:b/>
          <w:sz w:val="24"/>
        </w:rPr>
        <w:t>a</w:t>
      </w:r>
      <w:r w:rsidR="002C033E">
        <w:rPr>
          <w:b/>
          <w:sz w:val="24"/>
        </w:rPr>
        <w:t xml:space="preserve"> governor of the opposite party</w:t>
      </w:r>
      <w:r w:rsidR="0013149C">
        <w:rPr>
          <w:b/>
          <w:sz w:val="24"/>
        </w:rPr>
        <w:t xml:space="preserve"> i</w:t>
      </w:r>
      <w:r w:rsidR="001440C9">
        <w:rPr>
          <w:b/>
          <w:sz w:val="24"/>
        </w:rPr>
        <w:t>nto</w:t>
      </w:r>
      <w:r w:rsidR="004372F2">
        <w:rPr>
          <w:b/>
          <w:sz w:val="24"/>
        </w:rPr>
        <w:t xml:space="preserve"> i</w:t>
      </w:r>
      <w:r w:rsidR="0013149C">
        <w:rPr>
          <w:b/>
          <w:sz w:val="24"/>
        </w:rPr>
        <w:t>rrelevan</w:t>
      </w:r>
      <w:r w:rsidR="001440C9">
        <w:rPr>
          <w:b/>
          <w:sz w:val="24"/>
        </w:rPr>
        <w:t>ce</w:t>
      </w:r>
      <w:r w:rsidR="002C033E">
        <w:rPr>
          <w:b/>
          <w:sz w:val="24"/>
        </w:rPr>
        <w:t xml:space="preserve">.  This </w:t>
      </w:r>
      <w:r w:rsidR="00696FC0">
        <w:rPr>
          <w:b/>
          <w:sz w:val="24"/>
        </w:rPr>
        <w:t xml:space="preserve">supremacy </w:t>
      </w:r>
      <w:r w:rsidR="0013149C">
        <w:rPr>
          <w:b/>
          <w:sz w:val="24"/>
        </w:rPr>
        <w:t xml:space="preserve">was </w:t>
      </w:r>
      <w:r w:rsidR="00696FC0">
        <w:rPr>
          <w:b/>
          <w:sz w:val="24"/>
        </w:rPr>
        <w:t xml:space="preserve">enjoyed </w:t>
      </w:r>
      <w:r w:rsidR="002C033E">
        <w:rPr>
          <w:b/>
          <w:sz w:val="24"/>
        </w:rPr>
        <w:t>by the Democrats in Texas in 1981-82, Alabama in 1991-92, Arkansas, Massachusetts, and Rhode Island in 2001-02, and</w:t>
      </w:r>
      <w:r w:rsidR="001E6FCD">
        <w:rPr>
          <w:b/>
          <w:sz w:val="24"/>
        </w:rPr>
        <w:t xml:space="preserve"> </w:t>
      </w:r>
      <w:r w:rsidR="002C033E">
        <w:rPr>
          <w:b/>
          <w:sz w:val="24"/>
        </w:rPr>
        <w:t xml:space="preserve">the Republicans in New Hampshire in 2011-12.  </w:t>
      </w:r>
      <w:r w:rsidR="00A01FD6">
        <w:rPr>
          <w:b/>
          <w:sz w:val="24"/>
        </w:rPr>
        <w:t xml:space="preserve">However the actual </w:t>
      </w:r>
      <w:r w:rsidR="002C033E">
        <w:rPr>
          <w:b/>
          <w:sz w:val="24"/>
        </w:rPr>
        <w:t xml:space="preserve">politics played out, those were the formal </w:t>
      </w:r>
      <w:r w:rsidR="00A01FD6">
        <w:rPr>
          <w:b/>
          <w:sz w:val="24"/>
        </w:rPr>
        <w:t xml:space="preserve">templates </w:t>
      </w:r>
      <w:r w:rsidR="002C033E">
        <w:rPr>
          <w:b/>
          <w:sz w:val="24"/>
        </w:rPr>
        <w:t xml:space="preserve">at those times in those states.  </w:t>
      </w:r>
      <w:r w:rsidR="00FA5F3D">
        <w:rPr>
          <w:b/>
          <w:sz w:val="24"/>
        </w:rPr>
        <w:t xml:space="preserve">Call that single-party control.  </w:t>
      </w:r>
      <w:r w:rsidR="002C033E">
        <w:rPr>
          <w:b/>
          <w:sz w:val="24"/>
        </w:rPr>
        <w:t xml:space="preserve">Then there is North Carolina, where governors haven’t enjoyed any formal veto power at all over districting plans.  There, simple legislative majorities of Democrats could ignore a Republican governor in 1991-92, and simple majorities of </w:t>
      </w:r>
      <w:r w:rsidR="002C033E">
        <w:rPr>
          <w:b/>
          <w:sz w:val="24"/>
        </w:rPr>
        <w:lastRenderedPageBreak/>
        <w:t>Republicans could ignore a Democratic governor in 2011-12.</w:t>
      </w:r>
      <w:r w:rsidR="00FA5F3D">
        <w:rPr>
          <w:b/>
          <w:sz w:val="24"/>
        </w:rPr>
        <w:t xml:space="preserve">  Call that single-party control, too.</w:t>
      </w:r>
      <w:r w:rsidR="00FA5F3D">
        <w:rPr>
          <w:rStyle w:val="FootnoteReference"/>
          <w:b/>
          <w:sz w:val="24"/>
        </w:rPr>
        <w:footnoteReference w:id="1"/>
      </w:r>
      <w:r w:rsidR="00FA5F3D">
        <w:rPr>
          <w:b/>
          <w:sz w:val="24"/>
        </w:rPr>
        <w:t xml:space="preserve">  </w:t>
      </w:r>
      <w:r w:rsidR="002C033E">
        <w:rPr>
          <w:b/>
          <w:sz w:val="24"/>
        </w:rPr>
        <w:t xml:space="preserve"> </w:t>
      </w:r>
    </w:p>
    <w:p w:rsidR="0083408D" w:rsidRDefault="0083408D" w:rsidP="00FA4490">
      <w:pPr>
        <w:spacing w:after="0" w:line="240" w:lineRule="auto"/>
        <w:rPr>
          <w:b/>
          <w:sz w:val="24"/>
        </w:rPr>
      </w:pPr>
    </w:p>
    <w:p w:rsidR="0083408D" w:rsidRDefault="0083408D" w:rsidP="002F5E15">
      <w:pPr>
        <w:spacing w:after="0" w:line="240" w:lineRule="auto"/>
        <w:ind w:firstLine="720"/>
        <w:rPr>
          <w:b/>
          <w:sz w:val="24"/>
        </w:rPr>
      </w:pPr>
      <w:r>
        <w:rPr>
          <w:b/>
          <w:sz w:val="24"/>
        </w:rPr>
        <w:t xml:space="preserve">For a summary </w:t>
      </w:r>
      <w:r w:rsidR="0013149C">
        <w:rPr>
          <w:b/>
          <w:sz w:val="24"/>
        </w:rPr>
        <w:t>p</w:t>
      </w:r>
      <w:r w:rsidR="00A01FD6">
        <w:rPr>
          <w:b/>
          <w:sz w:val="24"/>
        </w:rPr>
        <w:t xml:space="preserve">ortrait </w:t>
      </w:r>
      <w:r>
        <w:rPr>
          <w:b/>
          <w:sz w:val="24"/>
        </w:rPr>
        <w:t xml:space="preserve">of House districts that have satisfied the single-party-control metric, and those that have not, see Figure 1.  </w:t>
      </w:r>
      <w:r w:rsidR="000600E1">
        <w:rPr>
          <w:b/>
          <w:sz w:val="24"/>
        </w:rPr>
        <w:t xml:space="preserve">(See Appendix A for full dataset.)  </w:t>
      </w:r>
      <w:r>
        <w:rPr>
          <w:b/>
          <w:sz w:val="24"/>
        </w:rPr>
        <w:t xml:space="preserve">On the Y axis </w:t>
      </w:r>
      <w:r w:rsidR="00A01FD6">
        <w:rPr>
          <w:b/>
          <w:sz w:val="24"/>
        </w:rPr>
        <w:t xml:space="preserve">are </w:t>
      </w:r>
      <w:r>
        <w:rPr>
          <w:b/>
          <w:sz w:val="24"/>
        </w:rPr>
        <w:t xml:space="preserve">Ns of House districts, capped at the full 435.  On the X axis are the five biennial junctures since 1970 </w:t>
      </w:r>
      <w:r w:rsidR="00A01FD6">
        <w:rPr>
          <w:b/>
          <w:sz w:val="24"/>
        </w:rPr>
        <w:t xml:space="preserve">in </w:t>
      </w:r>
      <w:r>
        <w:rPr>
          <w:b/>
          <w:sz w:val="24"/>
        </w:rPr>
        <w:t xml:space="preserve">which immediate post-Census redistricting has taken place.  To </w:t>
      </w:r>
      <w:r w:rsidR="00A01FD6">
        <w:rPr>
          <w:b/>
          <w:sz w:val="24"/>
        </w:rPr>
        <w:t xml:space="preserve">make the </w:t>
      </w:r>
      <w:r w:rsidR="00D33A58">
        <w:rPr>
          <w:b/>
          <w:sz w:val="24"/>
        </w:rPr>
        <w:t xml:space="preserve">district total a complete </w:t>
      </w:r>
      <w:r w:rsidR="006C6D07">
        <w:rPr>
          <w:b/>
          <w:sz w:val="24"/>
        </w:rPr>
        <w:t xml:space="preserve">set of </w:t>
      </w:r>
      <w:r>
        <w:rPr>
          <w:b/>
          <w:sz w:val="24"/>
        </w:rPr>
        <w:t xml:space="preserve">435, I have stuffed </w:t>
      </w:r>
      <w:r w:rsidR="006C6D07">
        <w:rPr>
          <w:b/>
          <w:sz w:val="24"/>
        </w:rPr>
        <w:t>a few o</w:t>
      </w:r>
      <w:r w:rsidR="00A01FD6">
        <w:rPr>
          <w:b/>
          <w:sz w:val="24"/>
        </w:rPr>
        <w:t>dd</w:t>
      </w:r>
      <w:r w:rsidR="006C6D07">
        <w:rPr>
          <w:b/>
          <w:sz w:val="24"/>
        </w:rPr>
        <w:t xml:space="preserve"> cases </w:t>
      </w:r>
      <w:r w:rsidR="0060758F">
        <w:rPr>
          <w:b/>
          <w:sz w:val="24"/>
        </w:rPr>
        <w:t>into the residual terr</w:t>
      </w:r>
      <w:r w:rsidR="00A01FD6">
        <w:rPr>
          <w:b/>
          <w:sz w:val="24"/>
        </w:rPr>
        <w:t xml:space="preserve">itory </w:t>
      </w:r>
      <w:r w:rsidR="006C6D07">
        <w:rPr>
          <w:b/>
          <w:sz w:val="24"/>
        </w:rPr>
        <w:t>at the top of the figure—the terr</w:t>
      </w:r>
      <w:r w:rsidR="00A01FD6">
        <w:rPr>
          <w:b/>
          <w:sz w:val="24"/>
        </w:rPr>
        <w:t xml:space="preserve">itory </w:t>
      </w:r>
      <w:r w:rsidR="001440C9">
        <w:rPr>
          <w:b/>
          <w:sz w:val="24"/>
        </w:rPr>
        <w:t xml:space="preserve">that </w:t>
      </w:r>
      <w:r w:rsidR="00957B28">
        <w:rPr>
          <w:b/>
          <w:sz w:val="24"/>
        </w:rPr>
        <w:t xml:space="preserve">exhibits </w:t>
      </w:r>
      <w:r w:rsidR="001440C9">
        <w:rPr>
          <w:b/>
          <w:sz w:val="24"/>
        </w:rPr>
        <w:t xml:space="preserve">absence of </w:t>
      </w:r>
      <w:r w:rsidR="00A01FD6">
        <w:rPr>
          <w:b/>
          <w:sz w:val="24"/>
        </w:rPr>
        <w:t xml:space="preserve">single-party control:  </w:t>
      </w:r>
      <w:r w:rsidR="006C6D07">
        <w:rPr>
          <w:b/>
          <w:sz w:val="24"/>
        </w:rPr>
        <w:t>Certain s</w:t>
      </w:r>
      <w:r w:rsidR="0060758F">
        <w:rPr>
          <w:b/>
          <w:sz w:val="24"/>
        </w:rPr>
        <w:t>tates (currently,</w:t>
      </w:r>
      <w:r w:rsidR="00A01FD6">
        <w:rPr>
          <w:b/>
          <w:sz w:val="24"/>
        </w:rPr>
        <w:t xml:space="preserve"> </w:t>
      </w:r>
      <w:r w:rsidR="001440C9">
        <w:rPr>
          <w:b/>
          <w:sz w:val="24"/>
        </w:rPr>
        <w:t xml:space="preserve">there are </w:t>
      </w:r>
      <w:r w:rsidR="0060758F">
        <w:rPr>
          <w:b/>
          <w:sz w:val="24"/>
        </w:rPr>
        <w:t xml:space="preserve">seven) have only one House district, making partisan gerrymandering impossible.  Nebraska has a formally nonpartisan legislature, making partisan gerrymandering of its (currently three) districts impossible, formally so anyway.  </w:t>
      </w:r>
      <w:r>
        <w:rPr>
          <w:b/>
          <w:sz w:val="24"/>
        </w:rPr>
        <w:t xml:space="preserve"> </w:t>
      </w:r>
    </w:p>
    <w:p w:rsidR="00754975" w:rsidRDefault="00754975" w:rsidP="00FA4490">
      <w:pPr>
        <w:spacing w:after="0" w:line="240" w:lineRule="auto"/>
        <w:rPr>
          <w:b/>
          <w:sz w:val="24"/>
        </w:rPr>
      </w:pPr>
    </w:p>
    <w:p w:rsidR="007C1865" w:rsidRPr="00754975" w:rsidRDefault="005D5865" w:rsidP="00FA4490">
      <w:pPr>
        <w:spacing w:after="0" w:line="240" w:lineRule="auto"/>
        <w:rPr>
          <w:b/>
          <w:sz w:val="24"/>
          <w:u w:val="single"/>
        </w:rPr>
      </w:pPr>
      <w:r>
        <w:rPr>
          <w:b/>
          <w:sz w:val="24"/>
          <w:u w:val="single"/>
        </w:rPr>
        <w:t>Figure 1:</w:t>
      </w:r>
      <w:r w:rsidR="00754975" w:rsidRPr="00754975">
        <w:rPr>
          <w:b/>
          <w:sz w:val="24"/>
          <w:u w:val="single"/>
        </w:rPr>
        <w:t xml:space="preserve"> House Districts that have satisfied the Single-Party Control Metric</w:t>
      </w:r>
      <w:r>
        <w:rPr>
          <w:b/>
          <w:sz w:val="24"/>
          <w:u w:val="single"/>
        </w:rPr>
        <w:t>.</w:t>
      </w:r>
    </w:p>
    <w:p w:rsidR="00754975" w:rsidRDefault="00754975" w:rsidP="00FA4490">
      <w:pPr>
        <w:spacing w:after="0" w:line="240" w:lineRule="auto"/>
        <w:rPr>
          <w:b/>
          <w:sz w:val="24"/>
        </w:rPr>
      </w:pPr>
    </w:p>
    <w:p w:rsidR="007C1865" w:rsidRDefault="00357D6E" w:rsidP="005D5865">
      <w:pPr>
        <w:spacing w:after="0" w:line="240" w:lineRule="auto"/>
        <w:jc w:val="center"/>
        <w:rPr>
          <w:b/>
          <w:sz w:val="24"/>
        </w:rPr>
      </w:pPr>
      <w:r>
        <w:rPr>
          <w:b/>
          <w:noProof/>
          <w:sz w:val="24"/>
        </w:rPr>
        <w:drawing>
          <wp:inline distT="0" distB="0" distL="0" distR="0">
            <wp:extent cx="50927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0.png"/>
                    <pic:cNvPicPr/>
                  </pic:nvPicPr>
                  <pic:blipFill>
                    <a:blip r:embed="rId8">
                      <a:extLst>
                        <a:ext uri="{28A0092B-C50C-407E-A947-70E740481C1C}">
                          <a14:useLocalDpi xmlns:a14="http://schemas.microsoft.com/office/drawing/2010/main" val="0"/>
                        </a:ext>
                      </a:extLst>
                    </a:blip>
                    <a:stretch>
                      <a:fillRect/>
                    </a:stretch>
                  </pic:blipFill>
                  <pic:spPr>
                    <a:xfrm>
                      <a:off x="0" y="0"/>
                      <a:ext cx="5092700" cy="2743200"/>
                    </a:xfrm>
                    <a:prstGeom prst="rect">
                      <a:avLst/>
                    </a:prstGeom>
                  </pic:spPr>
                </pic:pic>
              </a:graphicData>
            </a:graphic>
          </wp:inline>
        </w:drawing>
      </w:r>
    </w:p>
    <w:p w:rsidR="00E42116" w:rsidRPr="00E42116" w:rsidRDefault="00E42116" w:rsidP="00E42116">
      <w:pPr>
        <w:spacing w:after="0" w:line="240" w:lineRule="auto"/>
        <w:rPr>
          <w:b/>
          <w:sz w:val="24"/>
        </w:rPr>
      </w:pPr>
      <w:r>
        <w:rPr>
          <w:b/>
          <w:i/>
          <w:sz w:val="24"/>
        </w:rPr>
        <w:t>Source:</w:t>
      </w:r>
      <w:r>
        <w:rPr>
          <w:b/>
          <w:sz w:val="24"/>
        </w:rPr>
        <w:t xml:space="preserve"> Prepared by John A. Dearborn.</w:t>
      </w:r>
    </w:p>
    <w:p w:rsidR="00DD7A31" w:rsidRDefault="00DD7A31" w:rsidP="00FA4490">
      <w:pPr>
        <w:spacing w:after="0" w:line="240" w:lineRule="auto"/>
        <w:rPr>
          <w:b/>
          <w:sz w:val="24"/>
        </w:rPr>
      </w:pPr>
    </w:p>
    <w:p w:rsidR="00DD7A31" w:rsidRDefault="00DD7A31" w:rsidP="002F5E15">
      <w:pPr>
        <w:spacing w:after="0" w:line="240" w:lineRule="auto"/>
        <w:ind w:firstLine="720"/>
        <w:rPr>
          <w:b/>
          <w:sz w:val="24"/>
        </w:rPr>
      </w:pPr>
      <w:r>
        <w:rPr>
          <w:b/>
          <w:sz w:val="24"/>
        </w:rPr>
        <w:t xml:space="preserve">The gist of Figure 1:  Until recently, the Ns of districts </w:t>
      </w:r>
      <w:r w:rsidR="007F05B5">
        <w:rPr>
          <w:b/>
          <w:sz w:val="24"/>
        </w:rPr>
        <w:t xml:space="preserve">formally </w:t>
      </w:r>
      <w:r>
        <w:rPr>
          <w:b/>
          <w:sz w:val="24"/>
        </w:rPr>
        <w:t xml:space="preserve">open to partisan gerrymandering </w:t>
      </w:r>
      <w:r w:rsidR="00A17AC7">
        <w:rPr>
          <w:b/>
          <w:sz w:val="24"/>
        </w:rPr>
        <w:t xml:space="preserve">in years X1-X2 </w:t>
      </w:r>
      <w:r>
        <w:rPr>
          <w:b/>
          <w:sz w:val="24"/>
        </w:rPr>
        <w:t xml:space="preserve">averaged just over half the full </w:t>
      </w:r>
      <w:r w:rsidR="007F05B5">
        <w:rPr>
          <w:b/>
          <w:sz w:val="24"/>
        </w:rPr>
        <w:t xml:space="preserve">count of the </w:t>
      </w:r>
      <w:r>
        <w:rPr>
          <w:b/>
          <w:sz w:val="24"/>
        </w:rPr>
        <w:t>Hous</w:t>
      </w:r>
      <w:r w:rsidR="007F05B5">
        <w:rPr>
          <w:b/>
          <w:sz w:val="24"/>
        </w:rPr>
        <w:t xml:space="preserve">e—236, 250, 167, and </w:t>
      </w:r>
      <w:r>
        <w:rPr>
          <w:b/>
          <w:sz w:val="24"/>
        </w:rPr>
        <w:t>225.  In</w:t>
      </w:r>
      <w:r w:rsidR="00D06960">
        <w:rPr>
          <w:b/>
          <w:sz w:val="24"/>
        </w:rPr>
        <w:t xml:space="preserve"> 2011-12, the </w:t>
      </w:r>
      <w:r w:rsidR="004B7EAE">
        <w:rPr>
          <w:b/>
          <w:sz w:val="24"/>
        </w:rPr>
        <w:t xml:space="preserve">metric </w:t>
      </w:r>
      <w:r>
        <w:rPr>
          <w:b/>
          <w:sz w:val="24"/>
        </w:rPr>
        <w:t xml:space="preserve">surged to roughly three quarters of the full </w:t>
      </w:r>
      <w:r w:rsidR="007F05B5">
        <w:rPr>
          <w:b/>
          <w:sz w:val="24"/>
        </w:rPr>
        <w:t xml:space="preserve">count of the House—331.  </w:t>
      </w:r>
      <w:r>
        <w:rPr>
          <w:b/>
          <w:sz w:val="24"/>
        </w:rPr>
        <w:t xml:space="preserve">  </w:t>
      </w:r>
    </w:p>
    <w:p w:rsidR="00007E32" w:rsidRDefault="00007E32" w:rsidP="002F5E15">
      <w:pPr>
        <w:spacing w:after="0" w:line="240" w:lineRule="auto"/>
        <w:ind w:firstLine="720"/>
        <w:rPr>
          <w:b/>
          <w:sz w:val="24"/>
        </w:rPr>
      </w:pPr>
    </w:p>
    <w:p w:rsidR="00007E32" w:rsidRPr="00007E32" w:rsidRDefault="00007E32" w:rsidP="002F5E15">
      <w:pPr>
        <w:spacing w:after="0" w:line="240" w:lineRule="auto"/>
        <w:ind w:firstLine="720"/>
        <w:rPr>
          <w:b/>
          <w:sz w:val="24"/>
        </w:rPr>
      </w:pPr>
      <w:r>
        <w:rPr>
          <w:b/>
          <w:sz w:val="24"/>
        </w:rPr>
        <w:lastRenderedPageBreak/>
        <w:t xml:space="preserve">Single-party control, the </w:t>
      </w:r>
      <w:r>
        <w:rPr>
          <w:b/>
          <w:sz w:val="24"/>
          <w:u w:val="single"/>
        </w:rPr>
        <w:t>necessary</w:t>
      </w:r>
      <w:r>
        <w:rPr>
          <w:b/>
          <w:sz w:val="24"/>
        </w:rPr>
        <w:t xml:space="preserve"> condition, establishes a </w:t>
      </w:r>
      <w:r>
        <w:rPr>
          <w:b/>
          <w:sz w:val="24"/>
          <w:u w:val="single"/>
        </w:rPr>
        <w:t>ceiling</w:t>
      </w:r>
      <w:r>
        <w:rPr>
          <w:b/>
          <w:sz w:val="24"/>
        </w:rPr>
        <w:t xml:space="preserve"> on partisan gerrymandering.  But it is just that, a ceiling.  It is not a </w:t>
      </w:r>
      <w:r>
        <w:rPr>
          <w:b/>
          <w:sz w:val="24"/>
          <w:u w:val="single"/>
        </w:rPr>
        <w:t>sufficient</w:t>
      </w:r>
      <w:r>
        <w:rPr>
          <w:b/>
          <w:sz w:val="24"/>
        </w:rPr>
        <w:t xml:space="preserve"> condition.  Parties are like five-year-olds in front of whom </w:t>
      </w:r>
      <w:r w:rsidR="00957B28">
        <w:rPr>
          <w:b/>
          <w:sz w:val="24"/>
        </w:rPr>
        <w:t>matc</w:t>
      </w:r>
      <w:r w:rsidR="0086416D">
        <w:rPr>
          <w:b/>
          <w:sz w:val="24"/>
        </w:rPr>
        <w:t xml:space="preserve">hes </w:t>
      </w:r>
      <w:r>
        <w:rPr>
          <w:b/>
          <w:sz w:val="24"/>
        </w:rPr>
        <w:t>are placed</w:t>
      </w:r>
      <w:r w:rsidR="0086416D">
        <w:rPr>
          <w:b/>
          <w:sz w:val="24"/>
        </w:rPr>
        <w:t xml:space="preserve">.  </w:t>
      </w:r>
      <w:r>
        <w:rPr>
          <w:b/>
          <w:sz w:val="24"/>
        </w:rPr>
        <w:t xml:space="preserve">The kids will probably play with the matches, but they may not.  They may </w:t>
      </w:r>
      <w:r w:rsidR="0086416D">
        <w:rPr>
          <w:b/>
          <w:sz w:val="24"/>
        </w:rPr>
        <w:t xml:space="preserve">take a pass, or </w:t>
      </w:r>
      <w:r>
        <w:rPr>
          <w:b/>
          <w:sz w:val="24"/>
        </w:rPr>
        <w:t xml:space="preserve">they may </w:t>
      </w:r>
      <w:r w:rsidR="00E1596E">
        <w:rPr>
          <w:b/>
          <w:sz w:val="24"/>
        </w:rPr>
        <w:t xml:space="preserve">bungle.  </w:t>
      </w:r>
      <w:r>
        <w:rPr>
          <w:b/>
          <w:sz w:val="24"/>
        </w:rPr>
        <w:t xml:space="preserve">Beyond that, parties may be </w:t>
      </w:r>
      <w:r>
        <w:rPr>
          <w:b/>
          <w:sz w:val="24"/>
          <w:u w:val="single"/>
        </w:rPr>
        <w:t>impeded</w:t>
      </w:r>
      <w:r>
        <w:rPr>
          <w:b/>
          <w:sz w:val="24"/>
        </w:rPr>
        <w:t xml:space="preserve"> from self-serving gerrymandering for one reason or another.  </w:t>
      </w:r>
      <w:r w:rsidR="00E1596E">
        <w:rPr>
          <w:b/>
          <w:sz w:val="24"/>
        </w:rPr>
        <w:t>Processes or other players may constrain them.  It is not possible to get anything like a precise measurement bead on the reluctances or constraints that might ward off partisan gerrymandering, even in the favorable circumstance of single-party control.  For one thing, the deadly analytic factor of anticipated reactions can play a role.  Suffice it to say that, in practice, partisan gerrymandering takes place somewhere nontrivially short of its formally possible ceiling</w:t>
      </w:r>
      <w:r w:rsidR="00707A07">
        <w:rPr>
          <w:b/>
          <w:sz w:val="24"/>
        </w:rPr>
        <w:t xml:space="preserve"> as defined above</w:t>
      </w:r>
      <w:r w:rsidR="00E1596E">
        <w:rPr>
          <w:b/>
          <w:sz w:val="24"/>
        </w:rPr>
        <w:t xml:space="preserve">.  </w:t>
      </w:r>
      <w:r w:rsidR="0086416D">
        <w:rPr>
          <w:b/>
          <w:sz w:val="24"/>
        </w:rPr>
        <w:t xml:space="preserve"> </w:t>
      </w:r>
      <w:r w:rsidR="00707A07">
        <w:rPr>
          <w:b/>
          <w:sz w:val="24"/>
        </w:rPr>
        <w:t xml:space="preserve">The clouding or impeding of partisan manipulation can be substantial.  Here are some of the notable instances:  </w:t>
      </w:r>
    </w:p>
    <w:p w:rsidR="00B72463" w:rsidRDefault="00707A07" w:rsidP="00FA4490">
      <w:pPr>
        <w:spacing w:after="0" w:line="240" w:lineRule="auto"/>
        <w:rPr>
          <w:b/>
          <w:sz w:val="24"/>
        </w:rPr>
      </w:pPr>
      <w:r>
        <w:rPr>
          <w:b/>
          <w:sz w:val="24"/>
        </w:rPr>
        <w:tab/>
        <w:t xml:space="preserve">--In 1991-92, </w:t>
      </w:r>
      <w:r w:rsidR="0086416D">
        <w:rPr>
          <w:b/>
          <w:sz w:val="24"/>
        </w:rPr>
        <w:t>a</w:t>
      </w:r>
      <w:r>
        <w:rPr>
          <w:b/>
          <w:sz w:val="24"/>
        </w:rPr>
        <w:t xml:space="preserve"> new imperative to draw majority-minority districts veered the mapping strategies in many southern states.  </w:t>
      </w:r>
    </w:p>
    <w:p w:rsidR="00EE3709" w:rsidRDefault="00707A07" w:rsidP="00FA4490">
      <w:pPr>
        <w:spacing w:after="0" w:line="240" w:lineRule="auto"/>
        <w:rPr>
          <w:b/>
          <w:sz w:val="24"/>
        </w:rPr>
      </w:pPr>
      <w:r>
        <w:rPr>
          <w:b/>
          <w:sz w:val="24"/>
        </w:rPr>
        <w:tab/>
        <w:t>--Iowa s</w:t>
      </w:r>
      <w:r w:rsidR="0086416D">
        <w:rPr>
          <w:b/>
          <w:sz w:val="24"/>
        </w:rPr>
        <w:t xml:space="preserve">ince </w:t>
      </w:r>
      <w:r>
        <w:rPr>
          <w:b/>
          <w:sz w:val="24"/>
        </w:rPr>
        <w:t xml:space="preserve">1980, Arizona </w:t>
      </w:r>
      <w:r w:rsidR="0086416D">
        <w:rPr>
          <w:b/>
          <w:sz w:val="24"/>
        </w:rPr>
        <w:t xml:space="preserve">since </w:t>
      </w:r>
      <w:r>
        <w:rPr>
          <w:b/>
          <w:sz w:val="24"/>
        </w:rPr>
        <w:t>2000, and California s</w:t>
      </w:r>
      <w:r w:rsidR="0086416D">
        <w:rPr>
          <w:b/>
          <w:sz w:val="24"/>
        </w:rPr>
        <w:t xml:space="preserve">ince </w:t>
      </w:r>
      <w:r>
        <w:rPr>
          <w:b/>
          <w:sz w:val="24"/>
        </w:rPr>
        <w:t xml:space="preserve">2010 have </w:t>
      </w:r>
      <w:r w:rsidR="00E9404E">
        <w:rPr>
          <w:b/>
          <w:sz w:val="24"/>
        </w:rPr>
        <w:t xml:space="preserve">given over their </w:t>
      </w:r>
      <w:r>
        <w:rPr>
          <w:b/>
          <w:sz w:val="24"/>
        </w:rPr>
        <w:t>redistricting to nonpartisan commissions.  This is a</w:t>
      </w:r>
      <w:r w:rsidR="00E9404E">
        <w:rPr>
          <w:b/>
          <w:sz w:val="24"/>
        </w:rPr>
        <w:t xml:space="preserve"> reform trend of obvious and growing importance.  It is not always clear what to make of it.  Can the commissions be gamed?  In Iowa </w:t>
      </w:r>
      <w:r w:rsidR="00056757">
        <w:rPr>
          <w:b/>
          <w:sz w:val="24"/>
        </w:rPr>
        <w:t xml:space="preserve">that’s very unlikely, </w:t>
      </w:r>
      <w:r w:rsidR="00E9404E">
        <w:rPr>
          <w:b/>
          <w:sz w:val="24"/>
        </w:rPr>
        <w:t>but there is controversy about California</w:t>
      </w:r>
      <w:r w:rsidR="00971F34">
        <w:rPr>
          <w:b/>
          <w:sz w:val="24"/>
        </w:rPr>
        <w:t xml:space="preserve">.  </w:t>
      </w:r>
      <w:r w:rsidR="00E9404E">
        <w:rPr>
          <w:b/>
          <w:sz w:val="24"/>
        </w:rPr>
        <w:t xml:space="preserve">In that state, the </w:t>
      </w:r>
      <w:r w:rsidR="0086416D">
        <w:rPr>
          <w:b/>
          <w:sz w:val="24"/>
        </w:rPr>
        <w:t>D</w:t>
      </w:r>
      <w:r w:rsidR="00E9404E">
        <w:rPr>
          <w:b/>
          <w:sz w:val="24"/>
        </w:rPr>
        <w:t>emocrats</w:t>
      </w:r>
      <w:r w:rsidR="00494419">
        <w:rPr>
          <w:b/>
          <w:sz w:val="24"/>
        </w:rPr>
        <w:t xml:space="preserve"> </w:t>
      </w:r>
      <w:r w:rsidR="00E9404E">
        <w:rPr>
          <w:b/>
          <w:sz w:val="24"/>
        </w:rPr>
        <w:t>advanced from a 34-19 House seat edge in</w:t>
      </w:r>
      <w:r w:rsidR="0086416D">
        <w:rPr>
          <w:b/>
          <w:sz w:val="24"/>
        </w:rPr>
        <w:t xml:space="preserve"> pre-commission </w:t>
      </w:r>
      <w:r w:rsidR="00E9404E">
        <w:rPr>
          <w:b/>
          <w:sz w:val="24"/>
        </w:rPr>
        <w:t xml:space="preserve">2010 to a 38-15 edge </w:t>
      </w:r>
      <w:r w:rsidR="00960596">
        <w:rPr>
          <w:b/>
          <w:sz w:val="24"/>
        </w:rPr>
        <w:t xml:space="preserve">using a </w:t>
      </w:r>
      <w:r w:rsidR="0086416D">
        <w:rPr>
          <w:b/>
          <w:sz w:val="24"/>
        </w:rPr>
        <w:t xml:space="preserve">freshly drawn </w:t>
      </w:r>
      <w:r w:rsidR="00CC0751">
        <w:rPr>
          <w:b/>
          <w:sz w:val="24"/>
        </w:rPr>
        <w:t>c</w:t>
      </w:r>
      <w:r w:rsidR="00E9404E">
        <w:rPr>
          <w:b/>
          <w:sz w:val="24"/>
        </w:rPr>
        <w:t>ommission map</w:t>
      </w:r>
      <w:r w:rsidR="0086416D">
        <w:rPr>
          <w:b/>
          <w:sz w:val="24"/>
        </w:rPr>
        <w:t xml:space="preserve"> in 2012</w:t>
      </w:r>
      <w:r w:rsidR="00E9404E">
        <w:rPr>
          <w:b/>
          <w:sz w:val="24"/>
        </w:rPr>
        <w:t xml:space="preserve">.   </w:t>
      </w:r>
    </w:p>
    <w:p w:rsidR="00C35E67" w:rsidRDefault="00C35E67" w:rsidP="00FA4490">
      <w:pPr>
        <w:spacing w:after="0" w:line="240" w:lineRule="auto"/>
        <w:rPr>
          <w:b/>
          <w:sz w:val="24"/>
        </w:rPr>
      </w:pPr>
      <w:r>
        <w:rPr>
          <w:b/>
          <w:sz w:val="24"/>
        </w:rPr>
        <w:tab/>
        <w:t>--In New Jersey</w:t>
      </w:r>
      <w:r w:rsidR="004B08F3">
        <w:rPr>
          <w:b/>
          <w:sz w:val="24"/>
        </w:rPr>
        <w:t xml:space="preserve"> in recent decades</w:t>
      </w:r>
      <w:r>
        <w:rPr>
          <w:b/>
          <w:sz w:val="24"/>
        </w:rPr>
        <w:t>, a commission process seems to have constrained either party from ravaging the other too badly</w:t>
      </w:r>
      <w:r w:rsidR="004B08F3">
        <w:rPr>
          <w:b/>
          <w:sz w:val="24"/>
        </w:rPr>
        <w:t xml:space="preserve">.  </w:t>
      </w:r>
      <w:r w:rsidR="00CD40E6">
        <w:rPr>
          <w:b/>
          <w:sz w:val="24"/>
        </w:rPr>
        <w:t xml:space="preserve">  </w:t>
      </w:r>
      <w:r>
        <w:rPr>
          <w:b/>
          <w:sz w:val="24"/>
        </w:rPr>
        <w:t xml:space="preserve">  </w:t>
      </w:r>
    </w:p>
    <w:p w:rsidR="00EE3709" w:rsidRDefault="00EE3709" w:rsidP="00FA4490">
      <w:pPr>
        <w:spacing w:after="0" w:line="240" w:lineRule="auto"/>
        <w:rPr>
          <w:b/>
          <w:sz w:val="24"/>
        </w:rPr>
      </w:pPr>
      <w:r>
        <w:rPr>
          <w:b/>
          <w:sz w:val="24"/>
        </w:rPr>
        <w:tab/>
        <w:t xml:space="preserve">--In Florida in 2011-12, how much did a </w:t>
      </w:r>
      <w:r w:rsidR="00957B28">
        <w:rPr>
          <w:b/>
          <w:sz w:val="24"/>
        </w:rPr>
        <w:t xml:space="preserve">preceding </w:t>
      </w:r>
      <w:r>
        <w:rPr>
          <w:b/>
          <w:sz w:val="24"/>
        </w:rPr>
        <w:t xml:space="preserve">referendum </w:t>
      </w:r>
      <w:r w:rsidR="00957B28">
        <w:rPr>
          <w:b/>
          <w:sz w:val="24"/>
        </w:rPr>
        <w:t xml:space="preserve">decision </w:t>
      </w:r>
      <w:r w:rsidR="00C35E67">
        <w:rPr>
          <w:b/>
          <w:sz w:val="24"/>
        </w:rPr>
        <w:t xml:space="preserve">aimed at </w:t>
      </w:r>
      <w:r>
        <w:rPr>
          <w:b/>
          <w:sz w:val="24"/>
        </w:rPr>
        <w:t>purify</w:t>
      </w:r>
      <w:r w:rsidR="00C35E67">
        <w:rPr>
          <w:b/>
          <w:sz w:val="24"/>
        </w:rPr>
        <w:t>ing</w:t>
      </w:r>
      <w:r>
        <w:rPr>
          <w:b/>
          <w:sz w:val="24"/>
        </w:rPr>
        <w:t xml:space="preserve"> the line-drawing actually constrain the politicians?</w:t>
      </w:r>
    </w:p>
    <w:p w:rsidR="00EE3709" w:rsidRDefault="00EE3709" w:rsidP="00FA4490">
      <w:pPr>
        <w:spacing w:after="0" w:line="240" w:lineRule="auto"/>
        <w:rPr>
          <w:b/>
          <w:sz w:val="24"/>
        </w:rPr>
      </w:pPr>
      <w:r>
        <w:rPr>
          <w:b/>
          <w:sz w:val="24"/>
        </w:rPr>
        <w:tab/>
        <w:t xml:space="preserve">--In Ohio in 2011-12, in the </w:t>
      </w:r>
      <w:r w:rsidR="00CC0751">
        <w:rPr>
          <w:b/>
          <w:sz w:val="24"/>
        </w:rPr>
        <w:t xml:space="preserve">realm </w:t>
      </w:r>
      <w:r>
        <w:rPr>
          <w:b/>
          <w:sz w:val="24"/>
        </w:rPr>
        <w:t xml:space="preserve">of anticipated reactions, wariness of a court challenge seems to have nudged the dominant Republicans into a bipartisan deal of </w:t>
      </w:r>
      <w:r w:rsidR="004B08F3">
        <w:rPr>
          <w:b/>
          <w:sz w:val="24"/>
        </w:rPr>
        <w:t xml:space="preserve">satisficing </w:t>
      </w:r>
      <w:r>
        <w:rPr>
          <w:b/>
          <w:sz w:val="24"/>
        </w:rPr>
        <w:t xml:space="preserve">appeal to the Democrats.  </w:t>
      </w:r>
    </w:p>
    <w:p w:rsidR="00B72463" w:rsidRDefault="00EE3709" w:rsidP="00FA4490">
      <w:pPr>
        <w:spacing w:after="0" w:line="240" w:lineRule="auto"/>
        <w:rPr>
          <w:b/>
          <w:sz w:val="24"/>
        </w:rPr>
      </w:pPr>
      <w:r>
        <w:rPr>
          <w:b/>
          <w:sz w:val="24"/>
        </w:rPr>
        <w:tab/>
        <w:t xml:space="preserve">--Sometimes, when the elected institutions have </w:t>
      </w:r>
      <w:r w:rsidR="004B08F3">
        <w:rPr>
          <w:b/>
          <w:sz w:val="24"/>
        </w:rPr>
        <w:t xml:space="preserve">deadlocked, </w:t>
      </w:r>
      <w:r>
        <w:rPr>
          <w:b/>
          <w:sz w:val="24"/>
        </w:rPr>
        <w:t xml:space="preserve">the courts have </w:t>
      </w:r>
      <w:r w:rsidR="004B08F3">
        <w:rPr>
          <w:b/>
          <w:sz w:val="24"/>
        </w:rPr>
        <w:t xml:space="preserve">taken </w:t>
      </w:r>
      <w:r>
        <w:rPr>
          <w:b/>
          <w:sz w:val="24"/>
        </w:rPr>
        <w:t xml:space="preserve">control of redistricting.  </w:t>
      </w:r>
      <w:r w:rsidR="00280BE7">
        <w:rPr>
          <w:b/>
          <w:sz w:val="24"/>
        </w:rPr>
        <w:t xml:space="preserve">Instances include Kansas in 2001-02, Connecticut in 2001-02, Illinois at least twice.  </w:t>
      </w:r>
      <w:r>
        <w:rPr>
          <w:b/>
          <w:sz w:val="24"/>
        </w:rPr>
        <w:t xml:space="preserve"> </w:t>
      </w:r>
    </w:p>
    <w:p w:rsidR="00CC0751" w:rsidRDefault="00CC0751" w:rsidP="00FA4490">
      <w:pPr>
        <w:spacing w:after="0" w:line="240" w:lineRule="auto"/>
        <w:rPr>
          <w:b/>
          <w:sz w:val="24"/>
        </w:rPr>
      </w:pPr>
      <w:r>
        <w:rPr>
          <w:b/>
          <w:sz w:val="24"/>
        </w:rPr>
        <w:tab/>
      </w:r>
    </w:p>
    <w:p w:rsidR="00CD40E6" w:rsidRDefault="00311612" w:rsidP="00FA4490">
      <w:pPr>
        <w:spacing w:after="0" w:line="240" w:lineRule="auto"/>
        <w:rPr>
          <w:b/>
          <w:sz w:val="24"/>
        </w:rPr>
      </w:pPr>
      <w:r>
        <w:rPr>
          <w:b/>
          <w:sz w:val="24"/>
        </w:rPr>
        <w:tab/>
        <w:t>And so on.  Partisan gerrymandering does not perform</w:t>
      </w:r>
      <w:r w:rsidR="00957B28">
        <w:rPr>
          <w:b/>
          <w:sz w:val="24"/>
        </w:rPr>
        <w:t xml:space="preserve"> up</w:t>
      </w:r>
      <w:r>
        <w:rPr>
          <w:b/>
          <w:sz w:val="24"/>
        </w:rPr>
        <w:t xml:space="preserve"> to its notional formal ceiling.  That is clear.  But</w:t>
      </w:r>
      <w:r w:rsidR="00957B28">
        <w:rPr>
          <w:b/>
          <w:sz w:val="24"/>
        </w:rPr>
        <w:t xml:space="preserve"> obviously</w:t>
      </w:r>
      <w:r>
        <w:rPr>
          <w:b/>
          <w:sz w:val="24"/>
        </w:rPr>
        <w:t xml:space="preserve"> it does</w:t>
      </w:r>
      <w:r w:rsidR="00CD40E6">
        <w:rPr>
          <w:b/>
          <w:sz w:val="24"/>
        </w:rPr>
        <w:t xml:space="preserve"> p</w:t>
      </w:r>
      <w:r>
        <w:rPr>
          <w:b/>
          <w:sz w:val="24"/>
        </w:rPr>
        <w:t xml:space="preserve">erform, or else we wouldn’t be having these discussions.  </w:t>
      </w:r>
      <w:r w:rsidR="00CD40E6">
        <w:rPr>
          <w:b/>
          <w:sz w:val="24"/>
        </w:rPr>
        <w:t xml:space="preserve">The current decade stands out.  In 2011-12, the Republicans drew </w:t>
      </w:r>
      <w:r w:rsidR="00801F44">
        <w:rPr>
          <w:b/>
          <w:sz w:val="24"/>
        </w:rPr>
        <w:t xml:space="preserve">ingenious </w:t>
      </w:r>
      <w:r w:rsidR="007D7559">
        <w:rPr>
          <w:b/>
          <w:sz w:val="24"/>
        </w:rPr>
        <w:t>s</w:t>
      </w:r>
      <w:r w:rsidR="00CD40E6">
        <w:rPr>
          <w:b/>
          <w:sz w:val="24"/>
        </w:rPr>
        <w:t>elf-serving maps</w:t>
      </w:r>
      <w:r w:rsidR="007D7559">
        <w:rPr>
          <w:b/>
          <w:sz w:val="24"/>
        </w:rPr>
        <w:t xml:space="preserve"> </w:t>
      </w:r>
      <w:r w:rsidR="00CD40E6">
        <w:rPr>
          <w:b/>
          <w:sz w:val="24"/>
        </w:rPr>
        <w:t>in</w:t>
      </w:r>
      <w:r w:rsidR="00316C77">
        <w:rPr>
          <w:b/>
          <w:sz w:val="24"/>
        </w:rPr>
        <w:t xml:space="preserve"> at least </w:t>
      </w:r>
      <w:r w:rsidR="00CD40E6">
        <w:rPr>
          <w:b/>
          <w:sz w:val="24"/>
        </w:rPr>
        <w:t xml:space="preserve">Florida, Michigan, North Carolina, Ohio, Pennsylvania, Texas, and Virginia.  The Democrats did the same in Illinois and Maryland.  </w:t>
      </w:r>
    </w:p>
    <w:p w:rsidR="005B55E8" w:rsidRDefault="005B55E8" w:rsidP="00FA4490">
      <w:pPr>
        <w:spacing w:after="0" w:line="240" w:lineRule="auto"/>
        <w:rPr>
          <w:b/>
          <w:sz w:val="24"/>
        </w:rPr>
      </w:pPr>
    </w:p>
    <w:p w:rsidR="007C0748" w:rsidRDefault="005B55E8" w:rsidP="00FA4490">
      <w:pPr>
        <w:spacing w:after="0" w:line="240" w:lineRule="auto"/>
        <w:rPr>
          <w:b/>
          <w:sz w:val="24"/>
        </w:rPr>
      </w:pPr>
      <w:r>
        <w:rPr>
          <w:b/>
          <w:sz w:val="24"/>
        </w:rPr>
        <w:tab/>
        <w:t>How does th</w:t>
      </w:r>
      <w:r w:rsidR="00801F44">
        <w:rPr>
          <w:b/>
          <w:sz w:val="24"/>
        </w:rPr>
        <w:t xml:space="preserve">e </w:t>
      </w:r>
      <w:r>
        <w:rPr>
          <w:b/>
          <w:sz w:val="24"/>
        </w:rPr>
        <w:t xml:space="preserve">Republican performance </w:t>
      </w:r>
      <w:r w:rsidR="00801F44">
        <w:rPr>
          <w:b/>
          <w:sz w:val="24"/>
        </w:rPr>
        <w:t>in th</w:t>
      </w:r>
      <w:r w:rsidR="00957B28">
        <w:rPr>
          <w:b/>
          <w:sz w:val="24"/>
        </w:rPr>
        <w:t xml:space="preserve">e current </w:t>
      </w:r>
      <w:r w:rsidR="00801F44">
        <w:rPr>
          <w:b/>
          <w:sz w:val="24"/>
        </w:rPr>
        <w:t>decade s</w:t>
      </w:r>
      <w:r>
        <w:rPr>
          <w:b/>
          <w:sz w:val="24"/>
        </w:rPr>
        <w:t xml:space="preserve">tack up historically?   Well, it is a new thing.  </w:t>
      </w:r>
      <w:r w:rsidR="00D03068">
        <w:rPr>
          <w:b/>
          <w:sz w:val="24"/>
        </w:rPr>
        <w:t xml:space="preserve">At the </w:t>
      </w:r>
      <w:r w:rsidR="00801F44">
        <w:rPr>
          <w:b/>
          <w:sz w:val="24"/>
        </w:rPr>
        <w:t xml:space="preserve">root of </w:t>
      </w:r>
      <w:r w:rsidR="00D03068">
        <w:rPr>
          <w:b/>
          <w:sz w:val="24"/>
        </w:rPr>
        <w:t>it</w:t>
      </w:r>
      <w:r w:rsidR="00F06FAF">
        <w:rPr>
          <w:b/>
          <w:sz w:val="24"/>
        </w:rPr>
        <w:t xml:space="preserve"> all</w:t>
      </w:r>
      <w:r w:rsidR="00D03068">
        <w:rPr>
          <w:b/>
          <w:sz w:val="24"/>
        </w:rPr>
        <w:t xml:space="preserve">, a Republican edge in </w:t>
      </w:r>
      <w:r w:rsidR="007C0748">
        <w:rPr>
          <w:b/>
          <w:sz w:val="24"/>
        </w:rPr>
        <w:t xml:space="preserve">the </w:t>
      </w:r>
      <w:r w:rsidR="00D03068">
        <w:rPr>
          <w:b/>
          <w:sz w:val="24"/>
        </w:rPr>
        <w:t xml:space="preserve">single-party-control metric </w:t>
      </w:r>
      <w:r w:rsidR="00960596">
        <w:rPr>
          <w:b/>
          <w:sz w:val="24"/>
        </w:rPr>
        <w:t xml:space="preserve">as </w:t>
      </w:r>
      <w:r w:rsidR="00D03068">
        <w:rPr>
          <w:b/>
          <w:sz w:val="24"/>
        </w:rPr>
        <w:t xml:space="preserve">defined above is a new thing.  It is spectacularly new.  See Figure 2, which charts </w:t>
      </w:r>
      <w:r w:rsidR="00D03068">
        <w:rPr>
          <w:b/>
          <w:sz w:val="24"/>
          <w:u w:val="single"/>
        </w:rPr>
        <w:t>by party</w:t>
      </w:r>
      <w:r w:rsidR="00D03068">
        <w:rPr>
          <w:b/>
          <w:sz w:val="24"/>
        </w:rPr>
        <w:t xml:space="preserve"> the Ns of House districts drawn </w:t>
      </w:r>
      <w:r w:rsidR="00801F44">
        <w:rPr>
          <w:b/>
          <w:sz w:val="24"/>
        </w:rPr>
        <w:t xml:space="preserve">according to metric’s </w:t>
      </w:r>
      <w:r w:rsidR="00D03068">
        <w:rPr>
          <w:b/>
          <w:sz w:val="24"/>
        </w:rPr>
        <w:t xml:space="preserve">conditions of single party control </w:t>
      </w:r>
      <w:r w:rsidR="00801F44">
        <w:rPr>
          <w:b/>
          <w:sz w:val="24"/>
        </w:rPr>
        <w:t xml:space="preserve">at </w:t>
      </w:r>
      <w:r w:rsidR="00D03068">
        <w:rPr>
          <w:b/>
          <w:sz w:val="24"/>
        </w:rPr>
        <w:t xml:space="preserve">the biennial junctures of 1971-72, 1981-82, 1991-92, 2001-02, and 2011-12.  </w:t>
      </w:r>
      <w:r w:rsidR="00473BC0">
        <w:rPr>
          <w:b/>
          <w:sz w:val="24"/>
        </w:rPr>
        <w:t>As seen here, t</w:t>
      </w:r>
      <w:r w:rsidR="00D03068">
        <w:rPr>
          <w:b/>
          <w:sz w:val="24"/>
        </w:rPr>
        <w:t xml:space="preserve">he Democrats </w:t>
      </w:r>
      <w:r w:rsidR="00801F44">
        <w:rPr>
          <w:b/>
          <w:sz w:val="24"/>
        </w:rPr>
        <w:t xml:space="preserve">used to enjoy </w:t>
      </w:r>
      <w:r w:rsidR="005E4006">
        <w:rPr>
          <w:b/>
          <w:sz w:val="24"/>
        </w:rPr>
        <w:t xml:space="preserve">an </w:t>
      </w:r>
      <w:r w:rsidR="00D03068">
        <w:rPr>
          <w:b/>
          <w:sz w:val="24"/>
        </w:rPr>
        <w:t>immense advantage in matches available to play with.  Now, in this decade, for the first time, courtesy of the</w:t>
      </w:r>
      <w:r w:rsidR="004B08F3">
        <w:rPr>
          <w:b/>
          <w:sz w:val="24"/>
        </w:rPr>
        <w:t>ir</w:t>
      </w:r>
      <w:r w:rsidR="00D03068">
        <w:rPr>
          <w:b/>
          <w:sz w:val="24"/>
        </w:rPr>
        <w:t xml:space="preserve"> 2010 </w:t>
      </w:r>
      <w:r w:rsidR="007C0748">
        <w:rPr>
          <w:b/>
          <w:sz w:val="24"/>
        </w:rPr>
        <w:t xml:space="preserve">landslide </w:t>
      </w:r>
      <w:r w:rsidR="00D03068">
        <w:rPr>
          <w:b/>
          <w:sz w:val="24"/>
        </w:rPr>
        <w:t xml:space="preserve">election, the Republicans </w:t>
      </w:r>
      <w:r w:rsidR="00D03068">
        <w:rPr>
          <w:b/>
          <w:sz w:val="24"/>
        </w:rPr>
        <w:lastRenderedPageBreak/>
        <w:t xml:space="preserve">came to enjoy a sizable </w:t>
      </w:r>
      <w:r w:rsidR="007C0748">
        <w:rPr>
          <w:b/>
          <w:sz w:val="24"/>
        </w:rPr>
        <w:t xml:space="preserve">advantage.  Gerrymandering has surged as a concern during this decade, </w:t>
      </w:r>
      <w:r w:rsidR="00801F44">
        <w:rPr>
          <w:b/>
          <w:sz w:val="24"/>
        </w:rPr>
        <w:t xml:space="preserve">no doubt </w:t>
      </w:r>
      <w:r w:rsidR="007C0748">
        <w:rPr>
          <w:b/>
          <w:sz w:val="24"/>
        </w:rPr>
        <w:t xml:space="preserve">for several reasons including the </w:t>
      </w:r>
      <w:r w:rsidR="004B08F3">
        <w:rPr>
          <w:b/>
          <w:sz w:val="24"/>
        </w:rPr>
        <w:t xml:space="preserve">sinuousness of the maps and the brazenness of the processes.  </w:t>
      </w:r>
      <w:r w:rsidR="007C0748">
        <w:rPr>
          <w:b/>
          <w:sz w:val="24"/>
        </w:rPr>
        <w:t xml:space="preserve">Yet </w:t>
      </w:r>
      <w:r w:rsidR="00801F44">
        <w:rPr>
          <w:b/>
          <w:sz w:val="24"/>
        </w:rPr>
        <w:t xml:space="preserve">another plausible reason is that it is the Republicans, </w:t>
      </w:r>
      <w:r w:rsidR="001E5049">
        <w:rPr>
          <w:b/>
          <w:sz w:val="24"/>
        </w:rPr>
        <w:t xml:space="preserve">not the Democrats, </w:t>
      </w:r>
      <w:r w:rsidR="00801F44">
        <w:rPr>
          <w:b/>
          <w:sz w:val="24"/>
        </w:rPr>
        <w:t xml:space="preserve">who </w:t>
      </w:r>
      <w:r w:rsidR="004B08F3">
        <w:rPr>
          <w:b/>
          <w:sz w:val="24"/>
        </w:rPr>
        <w:t xml:space="preserve">have </w:t>
      </w:r>
      <w:r w:rsidR="001E5049">
        <w:rPr>
          <w:b/>
          <w:sz w:val="24"/>
        </w:rPr>
        <w:t>lucked out</w:t>
      </w:r>
      <w:r w:rsidR="00801F44">
        <w:rPr>
          <w:b/>
          <w:sz w:val="24"/>
        </w:rPr>
        <w:t xml:space="preserve"> in this decade’s turn of the election wheel.  </w:t>
      </w:r>
      <w:r w:rsidR="00FE2A6D">
        <w:rPr>
          <w:b/>
          <w:sz w:val="24"/>
        </w:rPr>
        <w:t>Not surprisingly, j</w:t>
      </w:r>
      <w:r w:rsidR="001E5049">
        <w:rPr>
          <w:b/>
          <w:sz w:val="24"/>
        </w:rPr>
        <w:t xml:space="preserve">ournalists, law school professors, and other academics have been </w:t>
      </w:r>
      <w:r w:rsidR="00473BC0">
        <w:rPr>
          <w:b/>
          <w:sz w:val="24"/>
        </w:rPr>
        <w:t xml:space="preserve">pressing </w:t>
      </w:r>
      <w:r w:rsidR="001E5049">
        <w:rPr>
          <w:b/>
          <w:sz w:val="24"/>
        </w:rPr>
        <w:t xml:space="preserve">an agenda of </w:t>
      </w:r>
      <w:r w:rsidR="00FE2A6D">
        <w:rPr>
          <w:b/>
          <w:sz w:val="24"/>
        </w:rPr>
        <w:t xml:space="preserve">analysis, </w:t>
      </w:r>
      <w:r w:rsidR="001E5049">
        <w:rPr>
          <w:b/>
          <w:sz w:val="24"/>
        </w:rPr>
        <w:t xml:space="preserve">alarm, and reform.   </w:t>
      </w:r>
      <w:r w:rsidR="007C0748">
        <w:rPr>
          <w:b/>
          <w:sz w:val="24"/>
        </w:rPr>
        <w:t xml:space="preserve">  </w:t>
      </w:r>
    </w:p>
    <w:p w:rsidR="005D5865" w:rsidRDefault="005D5865" w:rsidP="00FA4490">
      <w:pPr>
        <w:spacing w:after="0" w:line="240" w:lineRule="auto"/>
        <w:rPr>
          <w:b/>
          <w:sz w:val="24"/>
        </w:rPr>
      </w:pPr>
    </w:p>
    <w:p w:rsidR="005D5865" w:rsidRPr="00754975" w:rsidRDefault="005D5865" w:rsidP="005D5865">
      <w:pPr>
        <w:spacing w:after="0" w:line="240" w:lineRule="auto"/>
        <w:rPr>
          <w:b/>
          <w:sz w:val="24"/>
          <w:u w:val="single"/>
        </w:rPr>
      </w:pPr>
      <w:r>
        <w:rPr>
          <w:b/>
          <w:sz w:val="24"/>
          <w:u w:val="single"/>
        </w:rPr>
        <w:t>Figure 2:</w:t>
      </w:r>
      <w:r w:rsidRPr="00754975">
        <w:rPr>
          <w:b/>
          <w:sz w:val="24"/>
          <w:u w:val="single"/>
        </w:rPr>
        <w:t xml:space="preserve"> House Districts that have satisfied the Single-Party Control Metric</w:t>
      </w:r>
      <w:r>
        <w:rPr>
          <w:b/>
          <w:sz w:val="24"/>
          <w:u w:val="single"/>
        </w:rPr>
        <w:t>, partitioned into which party was on top.</w:t>
      </w:r>
    </w:p>
    <w:p w:rsidR="005D5865" w:rsidRDefault="005D5865" w:rsidP="00FA4490">
      <w:pPr>
        <w:spacing w:after="0" w:line="240" w:lineRule="auto"/>
        <w:rPr>
          <w:b/>
          <w:sz w:val="24"/>
        </w:rPr>
      </w:pPr>
    </w:p>
    <w:p w:rsidR="005D5865" w:rsidRDefault="007A5A9B" w:rsidP="005D5865">
      <w:pPr>
        <w:spacing w:after="0" w:line="240" w:lineRule="auto"/>
        <w:jc w:val="center"/>
        <w:rPr>
          <w:b/>
          <w:sz w:val="24"/>
        </w:rPr>
      </w:pPr>
      <w:r>
        <w:rPr>
          <w:b/>
          <w:noProof/>
          <w:sz w:val="24"/>
        </w:rPr>
        <w:drawing>
          <wp:inline distT="0" distB="0" distL="0" distR="0">
            <wp:extent cx="59436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rsidR="00E42116" w:rsidRDefault="00E42116" w:rsidP="00E42116">
      <w:pPr>
        <w:spacing w:after="0" w:line="240" w:lineRule="auto"/>
        <w:rPr>
          <w:b/>
          <w:sz w:val="24"/>
        </w:rPr>
      </w:pPr>
      <w:r>
        <w:rPr>
          <w:b/>
          <w:i/>
          <w:sz w:val="24"/>
        </w:rPr>
        <w:t>Source:</w:t>
      </w:r>
      <w:r>
        <w:rPr>
          <w:b/>
          <w:sz w:val="24"/>
        </w:rPr>
        <w:t xml:space="preserve"> Prepared by John </w:t>
      </w:r>
      <w:r w:rsidR="001A28DF">
        <w:rPr>
          <w:b/>
          <w:sz w:val="24"/>
        </w:rPr>
        <w:t xml:space="preserve">A. </w:t>
      </w:r>
      <w:r>
        <w:rPr>
          <w:b/>
          <w:sz w:val="24"/>
        </w:rPr>
        <w:t>Dearborn.</w:t>
      </w:r>
    </w:p>
    <w:p w:rsidR="003B7837" w:rsidRDefault="003B7837" w:rsidP="00FA4490">
      <w:pPr>
        <w:spacing w:after="0" w:line="240" w:lineRule="auto"/>
        <w:rPr>
          <w:b/>
          <w:sz w:val="24"/>
        </w:rPr>
      </w:pPr>
    </w:p>
    <w:p w:rsidR="002E165B" w:rsidRDefault="003B7837" w:rsidP="00FA4490">
      <w:pPr>
        <w:spacing w:after="0" w:line="240" w:lineRule="auto"/>
        <w:rPr>
          <w:b/>
          <w:sz w:val="24"/>
        </w:rPr>
      </w:pPr>
      <w:r>
        <w:rPr>
          <w:b/>
          <w:sz w:val="24"/>
        </w:rPr>
        <w:tab/>
        <w:t>How bad is the problem of partisan gerrymandering at the level of the U.S. House?  It is bad enough</w:t>
      </w:r>
      <w:r w:rsidR="007E0C86">
        <w:rPr>
          <w:b/>
          <w:sz w:val="24"/>
        </w:rPr>
        <w:t xml:space="preserve">.  </w:t>
      </w:r>
      <w:r w:rsidR="004B08F3">
        <w:rPr>
          <w:b/>
          <w:sz w:val="24"/>
        </w:rPr>
        <w:t xml:space="preserve">For one thing, </w:t>
      </w:r>
      <w:r w:rsidR="001E45AB">
        <w:rPr>
          <w:b/>
          <w:sz w:val="24"/>
        </w:rPr>
        <w:t xml:space="preserve">it </w:t>
      </w:r>
      <w:r>
        <w:rPr>
          <w:b/>
          <w:sz w:val="24"/>
        </w:rPr>
        <w:t>helps spread an aroma of illegitimacy across the elections.  Getting rid of</w:t>
      </w:r>
      <w:r w:rsidR="001E45AB">
        <w:rPr>
          <w:b/>
          <w:sz w:val="24"/>
        </w:rPr>
        <w:t xml:space="preserve"> </w:t>
      </w:r>
      <w:r>
        <w:rPr>
          <w:b/>
          <w:sz w:val="24"/>
        </w:rPr>
        <w:t xml:space="preserve">the practice would be good.  </w:t>
      </w:r>
      <w:r w:rsidR="00434DF7">
        <w:rPr>
          <w:b/>
          <w:sz w:val="24"/>
        </w:rPr>
        <w:t xml:space="preserve">Yet note </w:t>
      </w:r>
      <w:r w:rsidR="0061610E">
        <w:rPr>
          <w:b/>
          <w:sz w:val="24"/>
        </w:rPr>
        <w:t xml:space="preserve">that the problem can be </w:t>
      </w:r>
      <w:r w:rsidR="00434DF7">
        <w:rPr>
          <w:b/>
          <w:sz w:val="24"/>
        </w:rPr>
        <w:t xml:space="preserve">much worse in </w:t>
      </w:r>
      <w:r w:rsidR="0061610E">
        <w:rPr>
          <w:b/>
          <w:sz w:val="24"/>
        </w:rPr>
        <w:t xml:space="preserve">other domains—in </w:t>
      </w:r>
      <w:r w:rsidR="00801F44">
        <w:rPr>
          <w:b/>
          <w:sz w:val="24"/>
        </w:rPr>
        <w:t xml:space="preserve">the </w:t>
      </w:r>
      <w:r w:rsidR="00434DF7">
        <w:rPr>
          <w:b/>
          <w:sz w:val="24"/>
        </w:rPr>
        <w:t xml:space="preserve">drawing </w:t>
      </w:r>
      <w:r w:rsidR="00801F44">
        <w:rPr>
          <w:b/>
          <w:sz w:val="24"/>
        </w:rPr>
        <w:t xml:space="preserve">of </w:t>
      </w:r>
      <w:r w:rsidR="00434DF7">
        <w:rPr>
          <w:b/>
          <w:sz w:val="24"/>
        </w:rPr>
        <w:t>a</w:t>
      </w:r>
      <w:r w:rsidR="00CD4B68">
        <w:rPr>
          <w:b/>
          <w:sz w:val="24"/>
        </w:rPr>
        <w:t>ny</w:t>
      </w:r>
      <w:r w:rsidR="0061610E">
        <w:rPr>
          <w:b/>
          <w:sz w:val="24"/>
        </w:rPr>
        <w:t xml:space="preserve"> state’s full </w:t>
      </w:r>
      <w:r w:rsidR="00801F44">
        <w:rPr>
          <w:b/>
          <w:sz w:val="24"/>
        </w:rPr>
        <w:t xml:space="preserve">complement </w:t>
      </w:r>
      <w:r w:rsidR="00434DF7">
        <w:rPr>
          <w:b/>
          <w:sz w:val="24"/>
        </w:rPr>
        <w:t xml:space="preserve">of state legislative districts, or in shaping </w:t>
      </w:r>
      <w:r w:rsidR="0061610E">
        <w:rPr>
          <w:b/>
          <w:sz w:val="24"/>
        </w:rPr>
        <w:t xml:space="preserve">a state’s U.S. House delegation.  </w:t>
      </w:r>
      <w:r w:rsidR="00434DF7">
        <w:rPr>
          <w:b/>
          <w:sz w:val="24"/>
        </w:rPr>
        <w:t xml:space="preserve">In those cases, a </w:t>
      </w:r>
      <w:r w:rsidR="00801F44">
        <w:rPr>
          <w:b/>
          <w:sz w:val="24"/>
        </w:rPr>
        <w:t xml:space="preserve">whole </w:t>
      </w:r>
      <w:r w:rsidR="0061610E">
        <w:rPr>
          <w:b/>
          <w:sz w:val="24"/>
        </w:rPr>
        <w:t>universe of seats can be tilted one way.  In contrast, at the</w:t>
      </w:r>
      <w:r w:rsidR="00434DF7">
        <w:rPr>
          <w:b/>
          <w:sz w:val="24"/>
        </w:rPr>
        <w:t xml:space="preserve"> </w:t>
      </w:r>
      <w:r w:rsidR="0061610E">
        <w:rPr>
          <w:b/>
          <w:sz w:val="24"/>
        </w:rPr>
        <w:t>level of the full U.S. House, there is always considerable constraint</w:t>
      </w:r>
      <w:r w:rsidR="007E0C86">
        <w:rPr>
          <w:b/>
          <w:sz w:val="24"/>
        </w:rPr>
        <w:t xml:space="preserve">, offset, </w:t>
      </w:r>
      <w:r w:rsidR="0061610E">
        <w:rPr>
          <w:b/>
          <w:sz w:val="24"/>
        </w:rPr>
        <w:t xml:space="preserve">and balance.  Leaving aside the various impediments to playing with </w:t>
      </w:r>
      <w:r w:rsidR="00FE2A6D">
        <w:rPr>
          <w:b/>
          <w:sz w:val="24"/>
        </w:rPr>
        <w:t xml:space="preserve">the </w:t>
      </w:r>
      <w:r w:rsidR="00801F44">
        <w:rPr>
          <w:b/>
          <w:sz w:val="24"/>
        </w:rPr>
        <w:t xml:space="preserve">available </w:t>
      </w:r>
      <w:r w:rsidR="0061610E">
        <w:rPr>
          <w:b/>
          <w:sz w:val="24"/>
        </w:rPr>
        <w:t xml:space="preserve">matches, it is always true that a great many states enjoy divided party control as they draw their U.S. House districts, and that </w:t>
      </w:r>
      <w:r w:rsidR="00FE2A6D">
        <w:rPr>
          <w:b/>
          <w:sz w:val="24"/>
        </w:rPr>
        <w:t xml:space="preserve">among </w:t>
      </w:r>
      <w:r w:rsidR="0061610E">
        <w:rPr>
          <w:b/>
          <w:sz w:val="24"/>
        </w:rPr>
        <w:t xml:space="preserve">the </w:t>
      </w:r>
      <w:r w:rsidR="00CD4B68">
        <w:rPr>
          <w:b/>
          <w:sz w:val="24"/>
        </w:rPr>
        <w:t xml:space="preserve">states </w:t>
      </w:r>
      <w:r w:rsidR="007E0C86">
        <w:rPr>
          <w:b/>
          <w:sz w:val="24"/>
        </w:rPr>
        <w:t xml:space="preserve">that </w:t>
      </w:r>
      <w:r w:rsidR="004B08F3">
        <w:rPr>
          <w:b/>
          <w:sz w:val="24"/>
        </w:rPr>
        <w:t xml:space="preserve">redistrict </w:t>
      </w:r>
      <w:r w:rsidR="00CD4B68">
        <w:rPr>
          <w:b/>
          <w:sz w:val="24"/>
        </w:rPr>
        <w:t xml:space="preserve">under unified party control, </w:t>
      </w:r>
      <w:r w:rsidR="0061610E">
        <w:rPr>
          <w:b/>
          <w:sz w:val="24"/>
        </w:rPr>
        <w:t xml:space="preserve">some will be </w:t>
      </w:r>
      <w:r w:rsidR="004B08F3">
        <w:rPr>
          <w:b/>
          <w:sz w:val="24"/>
        </w:rPr>
        <w:t xml:space="preserve">controlled by </w:t>
      </w:r>
      <w:r w:rsidR="0061610E">
        <w:rPr>
          <w:b/>
          <w:sz w:val="24"/>
        </w:rPr>
        <w:t>Democrat</w:t>
      </w:r>
      <w:r w:rsidR="004B08F3">
        <w:rPr>
          <w:b/>
          <w:sz w:val="24"/>
        </w:rPr>
        <w:t xml:space="preserve">s and others by </w:t>
      </w:r>
      <w:r w:rsidR="0061610E">
        <w:rPr>
          <w:b/>
          <w:sz w:val="24"/>
        </w:rPr>
        <w:t>Republican</w:t>
      </w:r>
      <w:r w:rsidR="004B08F3">
        <w:rPr>
          <w:b/>
          <w:sz w:val="24"/>
        </w:rPr>
        <w:t>s</w:t>
      </w:r>
      <w:r w:rsidR="0061610E">
        <w:rPr>
          <w:b/>
          <w:sz w:val="24"/>
        </w:rPr>
        <w:t xml:space="preserve">.  </w:t>
      </w:r>
      <w:r w:rsidR="005F3413">
        <w:rPr>
          <w:b/>
          <w:sz w:val="24"/>
        </w:rPr>
        <w:t xml:space="preserve">Thus the </w:t>
      </w:r>
      <w:r w:rsidR="00CD4B68">
        <w:rPr>
          <w:b/>
          <w:sz w:val="24"/>
        </w:rPr>
        <w:t xml:space="preserve">decade-specific </w:t>
      </w:r>
      <w:r w:rsidR="005F3413">
        <w:rPr>
          <w:b/>
          <w:sz w:val="24"/>
        </w:rPr>
        <w:t xml:space="preserve">terrain of </w:t>
      </w:r>
      <w:r w:rsidR="004725CB">
        <w:rPr>
          <w:b/>
          <w:sz w:val="24"/>
          <w:u w:val="single"/>
        </w:rPr>
        <w:t xml:space="preserve">any party’s net possible </w:t>
      </w:r>
      <w:r w:rsidR="005F3413">
        <w:rPr>
          <w:b/>
          <w:sz w:val="24"/>
          <w:u w:val="single"/>
        </w:rPr>
        <w:t>nation</w:t>
      </w:r>
      <w:r w:rsidR="004725CB">
        <w:rPr>
          <w:b/>
          <w:sz w:val="24"/>
          <w:u w:val="single"/>
        </w:rPr>
        <w:t>-level</w:t>
      </w:r>
      <w:r w:rsidR="005F3413">
        <w:rPr>
          <w:b/>
          <w:sz w:val="24"/>
          <w:u w:val="single"/>
        </w:rPr>
        <w:t xml:space="preserve"> advantage</w:t>
      </w:r>
      <w:r w:rsidR="005F3413">
        <w:rPr>
          <w:b/>
          <w:sz w:val="24"/>
        </w:rPr>
        <w:t xml:space="preserve"> in the drawing of U.S. House districts, going by the metric employed here, compared with what can happen in </w:t>
      </w:r>
      <w:r w:rsidR="00CD4B68">
        <w:rPr>
          <w:b/>
          <w:sz w:val="24"/>
        </w:rPr>
        <w:t>re</w:t>
      </w:r>
      <w:r w:rsidR="005F3413">
        <w:rPr>
          <w:b/>
          <w:sz w:val="24"/>
        </w:rPr>
        <w:t xml:space="preserve">districting a state legislature, has always been limited.  For the five decades analyzed here, it has never exceeded 36% of the size of the House.  </w:t>
      </w:r>
      <w:r w:rsidR="004725CB">
        <w:rPr>
          <w:b/>
          <w:sz w:val="24"/>
        </w:rPr>
        <w:t>See Figure 3</w:t>
      </w:r>
      <w:r w:rsidR="00FE2A6D">
        <w:rPr>
          <w:b/>
          <w:sz w:val="24"/>
        </w:rPr>
        <w:t xml:space="preserve"> for the </w:t>
      </w:r>
      <w:r w:rsidR="001E45AB">
        <w:rPr>
          <w:b/>
          <w:sz w:val="24"/>
        </w:rPr>
        <w:t xml:space="preserve">measure.  </w:t>
      </w:r>
    </w:p>
    <w:p w:rsidR="00CD40E6" w:rsidRDefault="005F3413" w:rsidP="00FA4490">
      <w:pPr>
        <w:spacing w:after="0" w:line="240" w:lineRule="auto"/>
        <w:rPr>
          <w:b/>
          <w:sz w:val="24"/>
        </w:rPr>
      </w:pPr>
      <w:r>
        <w:rPr>
          <w:b/>
          <w:sz w:val="24"/>
        </w:rPr>
        <w:t>Subtract</w:t>
      </w:r>
      <w:r w:rsidR="004725CB">
        <w:rPr>
          <w:b/>
          <w:sz w:val="24"/>
        </w:rPr>
        <w:t xml:space="preserve">ing </w:t>
      </w:r>
      <w:r>
        <w:rPr>
          <w:b/>
          <w:sz w:val="24"/>
        </w:rPr>
        <w:t xml:space="preserve">one party’s stock of </w:t>
      </w:r>
      <w:r w:rsidR="00CD4B68">
        <w:rPr>
          <w:b/>
          <w:sz w:val="24"/>
        </w:rPr>
        <w:t xml:space="preserve">matches-are-available </w:t>
      </w:r>
      <w:r>
        <w:rPr>
          <w:b/>
          <w:sz w:val="24"/>
        </w:rPr>
        <w:t>districts from the other party’s stock</w:t>
      </w:r>
      <w:r w:rsidR="004725CB">
        <w:rPr>
          <w:b/>
          <w:sz w:val="24"/>
        </w:rPr>
        <w:t xml:space="preserve">, the edges have been 54, 156, 157, and 15 districts </w:t>
      </w:r>
      <w:r w:rsidR="00CD4B68">
        <w:rPr>
          <w:b/>
          <w:sz w:val="24"/>
        </w:rPr>
        <w:t xml:space="preserve">to the </w:t>
      </w:r>
      <w:r w:rsidR="004725CB">
        <w:rPr>
          <w:b/>
          <w:sz w:val="24"/>
        </w:rPr>
        <w:t>Democrats</w:t>
      </w:r>
      <w:r w:rsidR="00CD4B68">
        <w:rPr>
          <w:b/>
          <w:sz w:val="24"/>
        </w:rPr>
        <w:t xml:space="preserve">’ favor </w:t>
      </w:r>
      <w:r w:rsidR="00FE2A6D">
        <w:rPr>
          <w:b/>
          <w:sz w:val="24"/>
        </w:rPr>
        <w:t>at</w:t>
      </w:r>
      <w:r w:rsidR="00CD4B68">
        <w:rPr>
          <w:b/>
          <w:sz w:val="24"/>
        </w:rPr>
        <w:t>, respectively,</w:t>
      </w:r>
      <w:r w:rsidR="004725CB">
        <w:rPr>
          <w:b/>
          <w:sz w:val="24"/>
        </w:rPr>
        <w:t xml:space="preserve"> the first four X1-X2 </w:t>
      </w:r>
      <w:r w:rsidR="00E3096E">
        <w:rPr>
          <w:b/>
          <w:sz w:val="24"/>
        </w:rPr>
        <w:t xml:space="preserve">redistricting </w:t>
      </w:r>
      <w:r w:rsidR="004725CB">
        <w:rPr>
          <w:b/>
          <w:sz w:val="24"/>
        </w:rPr>
        <w:t xml:space="preserve">junctures, and 103 seats </w:t>
      </w:r>
      <w:r w:rsidR="00CD4B68">
        <w:rPr>
          <w:b/>
          <w:sz w:val="24"/>
        </w:rPr>
        <w:t xml:space="preserve">to the Republicans’ favor </w:t>
      </w:r>
      <w:r w:rsidR="004725CB">
        <w:rPr>
          <w:b/>
          <w:sz w:val="24"/>
        </w:rPr>
        <w:t xml:space="preserve">in 2011-12.  </w:t>
      </w:r>
      <w:r>
        <w:rPr>
          <w:b/>
          <w:sz w:val="24"/>
        </w:rPr>
        <w:t xml:space="preserve">     </w:t>
      </w:r>
    </w:p>
    <w:p w:rsidR="00612924" w:rsidRDefault="00612924" w:rsidP="00FA4490">
      <w:pPr>
        <w:spacing w:after="0" w:line="240" w:lineRule="auto"/>
        <w:rPr>
          <w:b/>
          <w:sz w:val="24"/>
        </w:rPr>
      </w:pPr>
    </w:p>
    <w:p w:rsidR="00612924" w:rsidRPr="00754975" w:rsidRDefault="00612924" w:rsidP="00612924">
      <w:pPr>
        <w:spacing w:after="0" w:line="240" w:lineRule="auto"/>
        <w:rPr>
          <w:b/>
          <w:sz w:val="24"/>
          <w:u w:val="single"/>
        </w:rPr>
      </w:pPr>
      <w:r>
        <w:rPr>
          <w:b/>
          <w:sz w:val="24"/>
          <w:u w:val="single"/>
        </w:rPr>
        <w:t>Figure 3:</w:t>
      </w:r>
      <w:r w:rsidRPr="00754975">
        <w:rPr>
          <w:b/>
          <w:sz w:val="24"/>
          <w:u w:val="single"/>
        </w:rPr>
        <w:t xml:space="preserve"> </w:t>
      </w:r>
      <w:r>
        <w:rPr>
          <w:b/>
          <w:sz w:val="24"/>
          <w:u w:val="single"/>
        </w:rPr>
        <w:t>Net Party Edges in Districts Available for Gerrymandering.</w:t>
      </w:r>
    </w:p>
    <w:p w:rsidR="00612924" w:rsidRDefault="00612924" w:rsidP="00FA4490">
      <w:pPr>
        <w:spacing w:after="0" w:line="240" w:lineRule="auto"/>
        <w:rPr>
          <w:b/>
          <w:sz w:val="24"/>
        </w:rPr>
      </w:pPr>
    </w:p>
    <w:p w:rsidR="00957B28" w:rsidRDefault="00281B79" w:rsidP="00612924">
      <w:pPr>
        <w:spacing w:after="0" w:line="240" w:lineRule="auto"/>
        <w:jc w:val="center"/>
        <w:rPr>
          <w:b/>
          <w:sz w:val="24"/>
        </w:rPr>
      </w:pPr>
      <w:r>
        <w:rPr>
          <w:b/>
          <w:noProof/>
          <w:sz w:val="24"/>
        </w:rPr>
        <w:drawing>
          <wp:inline distT="0" distB="0" distL="0" distR="0">
            <wp:extent cx="45720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rsidR="00612924" w:rsidRDefault="00612924" w:rsidP="00612924">
      <w:pPr>
        <w:spacing w:after="0" w:line="240" w:lineRule="auto"/>
        <w:rPr>
          <w:b/>
          <w:sz w:val="24"/>
        </w:rPr>
      </w:pPr>
      <w:r w:rsidRPr="00612924">
        <w:rPr>
          <w:b/>
          <w:i/>
          <w:sz w:val="24"/>
        </w:rPr>
        <w:t>Note</w:t>
      </w:r>
      <w:r>
        <w:rPr>
          <w:b/>
          <w:i/>
          <w:sz w:val="24"/>
        </w:rPr>
        <w:t>:</w:t>
      </w:r>
      <w:r>
        <w:rPr>
          <w:b/>
          <w:sz w:val="24"/>
        </w:rPr>
        <w:t xml:space="preserve"> </w:t>
      </w:r>
      <w:r w:rsidR="001A28DF">
        <w:rPr>
          <w:b/>
          <w:sz w:val="24"/>
        </w:rPr>
        <w:t xml:space="preserve">All </w:t>
      </w:r>
      <w:r>
        <w:rPr>
          <w:b/>
          <w:sz w:val="24"/>
        </w:rPr>
        <w:t>Democratic edge</w:t>
      </w:r>
      <w:r w:rsidR="001A28DF">
        <w:rPr>
          <w:b/>
          <w:sz w:val="24"/>
        </w:rPr>
        <w:t>s except for Republican edge in 2011-12.</w:t>
      </w:r>
    </w:p>
    <w:p w:rsidR="00612924" w:rsidRDefault="00E42116" w:rsidP="00612924">
      <w:pPr>
        <w:spacing w:after="0" w:line="240" w:lineRule="auto"/>
        <w:rPr>
          <w:b/>
          <w:sz w:val="24"/>
        </w:rPr>
      </w:pPr>
      <w:r>
        <w:rPr>
          <w:b/>
          <w:i/>
          <w:sz w:val="24"/>
        </w:rPr>
        <w:t>Source:</w:t>
      </w:r>
      <w:r>
        <w:rPr>
          <w:b/>
          <w:sz w:val="24"/>
        </w:rPr>
        <w:t xml:space="preserve"> Prepared by John </w:t>
      </w:r>
      <w:r w:rsidR="001A28DF">
        <w:rPr>
          <w:b/>
          <w:sz w:val="24"/>
        </w:rPr>
        <w:t xml:space="preserve">A. </w:t>
      </w:r>
      <w:r>
        <w:rPr>
          <w:b/>
          <w:sz w:val="24"/>
        </w:rPr>
        <w:t>Dearborn.</w:t>
      </w:r>
    </w:p>
    <w:p w:rsidR="00612924" w:rsidRDefault="00612924" w:rsidP="00FA4490">
      <w:pPr>
        <w:spacing w:after="0" w:line="240" w:lineRule="auto"/>
        <w:rPr>
          <w:b/>
          <w:sz w:val="24"/>
        </w:rPr>
      </w:pPr>
    </w:p>
    <w:p w:rsidR="00E0364F" w:rsidRDefault="00957B28" w:rsidP="00FA4490">
      <w:pPr>
        <w:spacing w:after="0" w:line="240" w:lineRule="auto"/>
        <w:rPr>
          <w:b/>
          <w:sz w:val="24"/>
        </w:rPr>
      </w:pPr>
      <w:r>
        <w:rPr>
          <w:b/>
          <w:sz w:val="24"/>
        </w:rPr>
        <w:tab/>
        <w:t xml:space="preserve">Across the five decades, how have the </w:t>
      </w:r>
      <w:r w:rsidR="00DE737D">
        <w:rPr>
          <w:b/>
          <w:sz w:val="24"/>
        </w:rPr>
        <w:t xml:space="preserve">new district </w:t>
      </w:r>
      <w:r>
        <w:rPr>
          <w:b/>
          <w:sz w:val="24"/>
        </w:rPr>
        <w:t xml:space="preserve">maps drawn for election years X2 played out during the subsequent election years X4, X6, X8, and X0?   </w:t>
      </w:r>
      <w:r w:rsidR="00F77654">
        <w:rPr>
          <w:b/>
          <w:sz w:val="24"/>
        </w:rPr>
        <w:t xml:space="preserve">One pattern to look for is </w:t>
      </w:r>
      <w:r w:rsidR="00DE737D">
        <w:rPr>
          <w:b/>
          <w:sz w:val="24"/>
          <w:u w:val="single"/>
        </w:rPr>
        <w:t>churn</w:t>
      </w:r>
      <w:r w:rsidR="00DE737D">
        <w:rPr>
          <w:b/>
          <w:sz w:val="24"/>
        </w:rPr>
        <w:t xml:space="preserve">, or </w:t>
      </w:r>
      <w:r w:rsidR="00DE737D">
        <w:rPr>
          <w:b/>
          <w:sz w:val="24"/>
          <w:u w:val="single"/>
        </w:rPr>
        <w:t>turnover</w:t>
      </w:r>
      <w:r w:rsidR="00DE737D">
        <w:rPr>
          <w:b/>
          <w:sz w:val="24"/>
        </w:rPr>
        <w:t>.  What has been the lasting power of these districting designs?  At the most general level, what share of the 435 districts ha</w:t>
      </w:r>
      <w:r w:rsidR="00412B06">
        <w:rPr>
          <w:b/>
          <w:sz w:val="24"/>
        </w:rPr>
        <w:t>ve</w:t>
      </w:r>
      <w:r w:rsidR="00DE737D">
        <w:rPr>
          <w:b/>
          <w:sz w:val="24"/>
        </w:rPr>
        <w:t xml:space="preserve"> switched from one party to the other </w:t>
      </w:r>
      <w:r w:rsidR="00AE3CDF">
        <w:rPr>
          <w:b/>
          <w:sz w:val="24"/>
        </w:rPr>
        <w:t>(</w:t>
      </w:r>
      <w:r w:rsidR="00DE737D">
        <w:rPr>
          <w:b/>
          <w:sz w:val="24"/>
        </w:rPr>
        <w:t>in some cases</w:t>
      </w:r>
      <w:r w:rsidR="00AE3CDF">
        <w:rPr>
          <w:b/>
          <w:sz w:val="24"/>
        </w:rPr>
        <w:t xml:space="preserve"> switching back), </w:t>
      </w:r>
      <w:r w:rsidR="00E0364F">
        <w:rPr>
          <w:b/>
          <w:sz w:val="24"/>
        </w:rPr>
        <w:t xml:space="preserve">in </w:t>
      </w:r>
      <w:r w:rsidR="00A40C3E">
        <w:rPr>
          <w:b/>
          <w:sz w:val="24"/>
        </w:rPr>
        <w:t>any</w:t>
      </w:r>
      <w:r w:rsidR="00412B06">
        <w:rPr>
          <w:b/>
          <w:sz w:val="24"/>
        </w:rPr>
        <w:t xml:space="preserve"> of their </w:t>
      </w:r>
      <w:r w:rsidR="004C4A92">
        <w:rPr>
          <w:b/>
          <w:sz w:val="24"/>
        </w:rPr>
        <w:t>N</w:t>
      </w:r>
      <w:r w:rsidR="00DE737D">
        <w:rPr>
          <w:b/>
          <w:sz w:val="24"/>
        </w:rPr>
        <w:t>ovember outcome</w:t>
      </w:r>
      <w:r w:rsidR="004C4A92">
        <w:rPr>
          <w:b/>
          <w:sz w:val="24"/>
        </w:rPr>
        <w:t>s</w:t>
      </w:r>
      <w:r w:rsidR="00DE737D">
        <w:rPr>
          <w:b/>
          <w:sz w:val="24"/>
        </w:rPr>
        <w:t xml:space="preserve"> </w:t>
      </w:r>
      <w:r w:rsidR="00412B06">
        <w:rPr>
          <w:b/>
          <w:sz w:val="24"/>
        </w:rPr>
        <w:t xml:space="preserve">compared with their immediately </w:t>
      </w:r>
      <w:r w:rsidR="00A40C3E">
        <w:rPr>
          <w:b/>
          <w:sz w:val="24"/>
        </w:rPr>
        <w:t>preceding Novem</w:t>
      </w:r>
      <w:r w:rsidR="00DE737D">
        <w:rPr>
          <w:b/>
          <w:sz w:val="24"/>
        </w:rPr>
        <w:t>ber outcome</w:t>
      </w:r>
      <w:r w:rsidR="00412B06">
        <w:rPr>
          <w:b/>
          <w:sz w:val="24"/>
        </w:rPr>
        <w:t>s</w:t>
      </w:r>
      <w:r w:rsidR="00DE737D">
        <w:rPr>
          <w:b/>
          <w:sz w:val="24"/>
        </w:rPr>
        <w:t>,</w:t>
      </w:r>
      <w:r w:rsidR="004C4A92">
        <w:rPr>
          <w:b/>
          <w:sz w:val="24"/>
        </w:rPr>
        <w:t xml:space="preserve"> at any time during a decade’s four post-X2</w:t>
      </w:r>
      <w:r w:rsidR="00AE3CDF">
        <w:rPr>
          <w:b/>
          <w:sz w:val="24"/>
        </w:rPr>
        <w:t xml:space="preserve"> elections</w:t>
      </w:r>
      <w:r w:rsidR="00DE737D">
        <w:rPr>
          <w:b/>
          <w:sz w:val="24"/>
        </w:rPr>
        <w:t xml:space="preserve">?   </w:t>
      </w:r>
      <w:r w:rsidR="00BC2360">
        <w:rPr>
          <w:b/>
          <w:sz w:val="24"/>
        </w:rPr>
        <w:t xml:space="preserve">That is </w:t>
      </w:r>
      <w:r w:rsidR="00412B06">
        <w:rPr>
          <w:b/>
          <w:sz w:val="24"/>
        </w:rPr>
        <w:t xml:space="preserve">a question of general interest.  Beyond that, what about the option of partisan gerrymandering?   </w:t>
      </w:r>
      <w:r w:rsidR="00E0364F">
        <w:rPr>
          <w:b/>
          <w:sz w:val="24"/>
        </w:rPr>
        <w:t>W</w:t>
      </w:r>
      <w:r w:rsidR="00412B06">
        <w:rPr>
          <w:b/>
          <w:sz w:val="24"/>
        </w:rPr>
        <w:t xml:space="preserve">hat happens </w:t>
      </w:r>
      <w:r w:rsidR="00BC2360">
        <w:rPr>
          <w:b/>
          <w:sz w:val="24"/>
        </w:rPr>
        <w:t xml:space="preserve">if </w:t>
      </w:r>
      <w:r w:rsidR="00412B06">
        <w:rPr>
          <w:b/>
          <w:sz w:val="24"/>
        </w:rPr>
        <w:t xml:space="preserve">each decade’s </w:t>
      </w:r>
      <w:r w:rsidR="00BC2360">
        <w:rPr>
          <w:b/>
          <w:sz w:val="24"/>
        </w:rPr>
        <w:t xml:space="preserve">universe of 435 districts is partitioned into </w:t>
      </w:r>
      <w:r w:rsidR="00412B06">
        <w:rPr>
          <w:b/>
          <w:sz w:val="24"/>
        </w:rPr>
        <w:t xml:space="preserve">a) </w:t>
      </w:r>
      <w:r w:rsidR="00412B06">
        <w:rPr>
          <w:b/>
          <w:sz w:val="24"/>
          <w:u w:val="single"/>
        </w:rPr>
        <w:t>those drawn under conditions satisfying the single-party metric</w:t>
      </w:r>
      <w:r w:rsidR="00412B06">
        <w:rPr>
          <w:b/>
          <w:sz w:val="24"/>
        </w:rPr>
        <w:t xml:space="preserve"> and b) </w:t>
      </w:r>
      <w:r w:rsidR="00412B06">
        <w:rPr>
          <w:b/>
          <w:sz w:val="24"/>
          <w:u w:val="single"/>
        </w:rPr>
        <w:t>those not satisfying the metric</w:t>
      </w:r>
      <w:r w:rsidR="00412B06">
        <w:rPr>
          <w:b/>
          <w:sz w:val="24"/>
        </w:rPr>
        <w:t xml:space="preserve">?  Yes, other independent variables </w:t>
      </w:r>
      <w:r w:rsidR="00E0364F">
        <w:rPr>
          <w:b/>
          <w:sz w:val="24"/>
        </w:rPr>
        <w:t>no doubt but</w:t>
      </w:r>
      <w:r w:rsidR="00412B06">
        <w:rPr>
          <w:b/>
          <w:sz w:val="24"/>
        </w:rPr>
        <w:t xml:space="preserve">t into this analysis and swerve it.  Even so, is there evidence that districts drawn under condition a) are </w:t>
      </w:r>
      <w:r w:rsidR="00E0364F">
        <w:rPr>
          <w:b/>
          <w:sz w:val="24"/>
        </w:rPr>
        <w:t xml:space="preserve">distinctively </w:t>
      </w:r>
      <w:r w:rsidR="00412B06">
        <w:rPr>
          <w:b/>
          <w:sz w:val="24"/>
        </w:rPr>
        <w:t xml:space="preserve">“frozen” from churn or turnover during a decade?  Or might they be </w:t>
      </w:r>
      <w:r w:rsidR="00412B06">
        <w:rPr>
          <w:b/>
          <w:sz w:val="24"/>
          <w:u w:val="single"/>
        </w:rPr>
        <w:t>less</w:t>
      </w:r>
      <w:r w:rsidR="00412B06">
        <w:rPr>
          <w:b/>
          <w:sz w:val="24"/>
        </w:rPr>
        <w:t xml:space="preserve"> frozen?  This is a fishing expedition.  Do any di</w:t>
      </w:r>
      <w:r w:rsidR="00E0364F">
        <w:rPr>
          <w:b/>
          <w:sz w:val="24"/>
        </w:rPr>
        <w:t xml:space="preserve">fferences at all </w:t>
      </w:r>
      <w:r w:rsidR="00412B06">
        <w:rPr>
          <w:b/>
          <w:sz w:val="24"/>
        </w:rPr>
        <w:t xml:space="preserve">turn up?    </w:t>
      </w:r>
    </w:p>
    <w:p w:rsidR="00E0364F" w:rsidRDefault="00E0364F" w:rsidP="00FA4490">
      <w:pPr>
        <w:spacing w:after="0" w:line="240" w:lineRule="auto"/>
        <w:rPr>
          <w:b/>
          <w:sz w:val="24"/>
        </w:rPr>
      </w:pPr>
    </w:p>
    <w:p w:rsidR="009F23BE" w:rsidRDefault="00320059" w:rsidP="00FA4490">
      <w:pPr>
        <w:spacing w:after="0" w:line="240" w:lineRule="auto"/>
        <w:rPr>
          <w:b/>
          <w:sz w:val="24"/>
        </w:rPr>
      </w:pPr>
      <w:r>
        <w:rPr>
          <w:b/>
          <w:sz w:val="24"/>
        </w:rPr>
        <w:tab/>
        <w:t xml:space="preserve">To confuse things, the current decade allows (as of November 1, 2018) an inspection of only </w:t>
      </w:r>
      <w:r w:rsidR="00C2458A">
        <w:rPr>
          <w:b/>
          <w:sz w:val="24"/>
        </w:rPr>
        <w:t xml:space="preserve">its </w:t>
      </w:r>
      <w:r>
        <w:rPr>
          <w:b/>
          <w:sz w:val="24"/>
        </w:rPr>
        <w:t>first two post-X2 elections, those of 20</w:t>
      </w:r>
      <w:r w:rsidR="00D05431">
        <w:rPr>
          <w:b/>
          <w:sz w:val="24"/>
        </w:rPr>
        <w:t>1</w:t>
      </w:r>
      <w:r>
        <w:rPr>
          <w:b/>
          <w:sz w:val="24"/>
        </w:rPr>
        <w:t>4 and 20</w:t>
      </w:r>
      <w:r w:rsidR="00D05431">
        <w:rPr>
          <w:b/>
          <w:sz w:val="24"/>
        </w:rPr>
        <w:t>1</w:t>
      </w:r>
      <w:r>
        <w:rPr>
          <w:b/>
          <w:sz w:val="24"/>
        </w:rPr>
        <w:t xml:space="preserve">6.  For general illumination, the case of all four post-X2 elections is worth examining, and I do that here for the 1970s, 1980s, 1990s, and 2000s.  But to rope in the current decade, I need to compare across just the X4 and X6 elections, and I do that </w:t>
      </w:r>
      <w:r w:rsidR="00C2458A">
        <w:rPr>
          <w:b/>
          <w:sz w:val="24"/>
        </w:rPr>
        <w:t xml:space="preserve">here </w:t>
      </w:r>
      <w:r>
        <w:rPr>
          <w:b/>
          <w:sz w:val="24"/>
        </w:rPr>
        <w:t xml:space="preserve">too.  See </w:t>
      </w:r>
      <w:r w:rsidR="00E808DB">
        <w:rPr>
          <w:b/>
          <w:sz w:val="24"/>
        </w:rPr>
        <w:t xml:space="preserve">Table 1.  </w:t>
      </w:r>
      <w:r>
        <w:rPr>
          <w:b/>
          <w:sz w:val="24"/>
        </w:rPr>
        <w:t xml:space="preserve">  </w:t>
      </w:r>
      <w:r w:rsidR="00E808DB">
        <w:rPr>
          <w:b/>
          <w:sz w:val="24"/>
        </w:rPr>
        <w:t xml:space="preserve"> </w:t>
      </w:r>
    </w:p>
    <w:p w:rsidR="00DF7919" w:rsidRDefault="00DF7919" w:rsidP="00FA4490">
      <w:pPr>
        <w:spacing w:after="0" w:line="240" w:lineRule="auto"/>
        <w:rPr>
          <w:b/>
          <w:sz w:val="24"/>
        </w:rPr>
      </w:pPr>
    </w:p>
    <w:p w:rsidR="00807FD3" w:rsidRDefault="00807FD3">
      <w:pPr>
        <w:rPr>
          <w:b/>
          <w:sz w:val="24"/>
          <w:u w:val="single"/>
        </w:rPr>
      </w:pPr>
      <w:r>
        <w:rPr>
          <w:b/>
          <w:sz w:val="24"/>
          <w:u w:val="single"/>
        </w:rPr>
        <w:br w:type="page"/>
      </w:r>
    </w:p>
    <w:p w:rsidR="00DF7919" w:rsidRDefault="00DF7919" w:rsidP="00DF7919">
      <w:pPr>
        <w:spacing w:after="0" w:line="240" w:lineRule="auto"/>
        <w:rPr>
          <w:b/>
          <w:sz w:val="24"/>
          <w:u w:val="single"/>
        </w:rPr>
      </w:pPr>
      <w:r>
        <w:rPr>
          <w:b/>
          <w:sz w:val="24"/>
          <w:u w:val="single"/>
        </w:rPr>
        <w:lastRenderedPageBreak/>
        <w:t>Table 1:</w:t>
      </w:r>
      <w:r w:rsidRPr="005E3CFD">
        <w:rPr>
          <w:b/>
          <w:sz w:val="24"/>
          <w:u w:val="single"/>
        </w:rPr>
        <w:t xml:space="preserve">  Churn/turnover in party control of House districts in the post-X2 election years of a decade</w:t>
      </w:r>
      <w:r>
        <w:rPr>
          <w:b/>
          <w:sz w:val="24"/>
          <w:u w:val="single"/>
        </w:rPr>
        <w:t>.</w:t>
      </w:r>
    </w:p>
    <w:p w:rsidR="00DF7919" w:rsidRDefault="00DF7919" w:rsidP="00DF7919">
      <w:pPr>
        <w:spacing w:after="0" w:line="240" w:lineRule="auto"/>
        <w:rPr>
          <w:b/>
          <w:sz w:val="24"/>
          <w:u w:val="single"/>
        </w:rPr>
      </w:pPr>
    </w:p>
    <w:tbl>
      <w:tblPr>
        <w:tblStyle w:val="TableGrid"/>
        <w:tblW w:w="0" w:type="auto"/>
        <w:tblLook w:val="04A0" w:firstRow="1" w:lastRow="0" w:firstColumn="1" w:lastColumn="0" w:noHBand="0" w:noVBand="1"/>
      </w:tblPr>
      <w:tblGrid>
        <w:gridCol w:w="2980"/>
        <w:gridCol w:w="1361"/>
        <w:gridCol w:w="1351"/>
        <w:gridCol w:w="1283"/>
        <w:gridCol w:w="1283"/>
        <w:gridCol w:w="1092"/>
      </w:tblGrid>
      <w:tr w:rsidR="00DF7919" w:rsidTr="00274CE7">
        <w:tc>
          <w:tcPr>
            <w:tcW w:w="3078" w:type="dxa"/>
          </w:tcPr>
          <w:p w:rsidR="00DF7919" w:rsidRDefault="00DF7919" w:rsidP="00274CE7">
            <w:pPr>
              <w:rPr>
                <w:sz w:val="24"/>
              </w:rPr>
            </w:pPr>
          </w:p>
        </w:tc>
        <w:tc>
          <w:tcPr>
            <w:tcW w:w="1391" w:type="dxa"/>
          </w:tcPr>
          <w:p w:rsidR="00DF7919" w:rsidRPr="005E3CFD" w:rsidRDefault="00DF7919" w:rsidP="00274CE7">
            <w:pPr>
              <w:jc w:val="center"/>
              <w:rPr>
                <w:b/>
                <w:sz w:val="24"/>
              </w:rPr>
            </w:pPr>
            <w:r>
              <w:rPr>
                <w:b/>
                <w:sz w:val="24"/>
              </w:rPr>
              <w:t>1970s</w:t>
            </w:r>
          </w:p>
        </w:tc>
        <w:tc>
          <w:tcPr>
            <w:tcW w:w="1381" w:type="dxa"/>
          </w:tcPr>
          <w:p w:rsidR="00DF7919" w:rsidRPr="005E3CFD" w:rsidRDefault="00DF7919" w:rsidP="00274CE7">
            <w:pPr>
              <w:jc w:val="center"/>
              <w:rPr>
                <w:b/>
                <w:sz w:val="24"/>
              </w:rPr>
            </w:pPr>
            <w:r>
              <w:rPr>
                <w:b/>
                <w:sz w:val="24"/>
              </w:rPr>
              <w:t>1980s</w:t>
            </w:r>
          </w:p>
        </w:tc>
        <w:tc>
          <w:tcPr>
            <w:tcW w:w="1309" w:type="dxa"/>
          </w:tcPr>
          <w:p w:rsidR="00DF7919" w:rsidRPr="005E3CFD" w:rsidRDefault="00DF7919" w:rsidP="00274CE7">
            <w:pPr>
              <w:jc w:val="center"/>
              <w:rPr>
                <w:b/>
                <w:sz w:val="24"/>
              </w:rPr>
            </w:pPr>
            <w:r>
              <w:rPr>
                <w:b/>
                <w:sz w:val="24"/>
              </w:rPr>
              <w:t>1990s</w:t>
            </w:r>
          </w:p>
        </w:tc>
        <w:tc>
          <w:tcPr>
            <w:tcW w:w="1309" w:type="dxa"/>
          </w:tcPr>
          <w:p w:rsidR="00DF7919" w:rsidRPr="005E3CFD" w:rsidRDefault="00DF7919" w:rsidP="00274CE7">
            <w:pPr>
              <w:jc w:val="center"/>
              <w:rPr>
                <w:b/>
                <w:sz w:val="24"/>
              </w:rPr>
            </w:pPr>
            <w:r>
              <w:rPr>
                <w:b/>
                <w:sz w:val="24"/>
              </w:rPr>
              <w:t>2000s</w:t>
            </w:r>
          </w:p>
        </w:tc>
        <w:tc>
          <w:tcPr>
            <w:tcW w:w="1108" w:type="dxa"/>
          </w:tcPr>
          <w:p w:rsidR="00DF7919" w:rsidRDefault="00DF7919" w:rsidP="00274CE7">
            <w:pPr>
              <w:jc w:val="center"/>
              <w:rPr>
                <w:b/>
                <w:sz w:val="24"/>
              </w:rPr>
            </w:pPr>
            <w:r>
              <w:rPr>
                <w:b/>
                <w:sz w:val="24"/>
              </w:rPr>
              <w:t>2010s</w:t>
            </w:r>
          </w:p>
          <w:p w:rsidR="00AE24CE" w:rsidRPr="005E3CFD" w:rsidRDefault="00AE24CE" w:rsidP="00274CE7">
            <w:pPr>
              <w:jc w:val="center"/>
              <w:rPr>
                <w:b/>
                <w:sz w:val="24"/>
              </w:rPr>
            </w:pPr>
          </w:p>
        </w:tc>
      </w:tr>
      <w:tr w:rsidR="00DF7919" w:rsidTr="00274CE7">
        <w:tc>
          <w:tcPr>
            <w:tcW w:w="3078" w:type="dxa"/>
          </w:tcPr>
          <w:p w:rsidR="00DF7919" w:rsidRDefault="00DF7919" w:rsidP="00274CE7">
            <w:pPr>
              <w:rPr>
                <w:b/>
                <w:sz w:val="24"/>
              </w:rPr>
            </w:pPr>
            <w:r>
              <w:rPr>
                <w:b/>
                <w:sz w:val="24"/>
              </w:rPr>
              <w:t>All 435 districts</w:t>
            </w:r>
          </w:p>
          <w:p w:rsidR="00DF7919" w:rsidRDefault="00DF7919" w:rsidP="00274CE7">
            <w:pPr>
              <w:rPr>
                <w:b/>
                <w:sz w:val="24"/>
              </w:rPr>
            </w:pPr>
          </w:p>
          <w:p w:rsidR="00DF7919" w:rsidRDefault="00DF7919" w:rsidP="00274CE7">
            <w:pPr>
              <w:rPr>
                <w:b/>
                <w:sz w:val="24"/>
              </w:rPr>
            </w:pPr>
            <w:r>
              <w:rPr>
                <w:b/>
                <w:sz w:val="24"/>
              </w:rPr>
              <w:t>--all years X4, X6, X8, X0</w:t>
            </w:r>
          </w:p>
          <w:p w:rsidR="00DF7919" w:rsidRDefault="00DF7919" w:rsidP="00274CE7">
            <w:pPr>
              <w:rPr>
                <w:b/>
                <w:sz w:val="24"/>
              </w:rPr>
            </w:pPr>
            <w:r>
              <w:rPr>
                <w:b/>
                <w:sz w:val="24"/>
              </w:rPr>
              <w:t>--just years X4, X6</w:t>
            </w:r>
          </w:p>
          <w:p w:rsidR="00DF7919" w:rsidRPr="005E3CFD" w:rsidRDefault="00DF7919" w:rsidP="00274CE7">
            <w:pPr>
              <w:rPr>
                <w:sz w:val="24"/>
              </w:rPr>
            </w:pPr>
          </w:p>
        </w:tc>
        <w:tc>
          <w:tcPr>
            <w:tcW w:w="1391" w:type="dxa"/>
          </w:tcPr>
          <w:p w:rsidR="00DF7919" w:rsidRDefault="00DF7919" w:rsidP="00274CE7">
            <w:pPr>
              <w:jc w:val="center"/>
              <w:rPr>
                <w:b/>
                <w:sz w:val="24"/>
              </w:rPr>
            </w:pPr>
          </w:p>
          <w:p w:rsidR="00DF7919" w:rsidRDefault="00DF7919" w:rsidP="00274CE7">
            <w:pPr>
              <w:jc w:val="center"/>
              <w:rPr>
                <w:b/>
                <w:sz w:val="24"/>
              </w:rPr>
            </w:pPr>
          </w:p>
          <w:p w:rsidR="00DF7919" w:rsidRDefault="00DF7919" w:rsidP="00274CE7">
            <w:pPr>
              <w:jc w:val="center"/>
              <w:rPr>
                <w:b/>
                <w:sz w:val="24"/>
              </w:rPr>
            </w:pPr>
            <w:r>
              <w:rPr>
                <w:b/>
                <w:sz w:val="24"/>
              </w:rPr>
              <w:t>31%</w:t>
            </w:r>
          </w:p>
          <w:p w:rsidR="00DF7919" w:rsidRPr="005E3CFD" w:rsidRDefault="00DF7919" w:rsidP="00274CE7">
            <w:pPr>
              <w:jc w:val="center"/>
              <w:rPr>
                <w:b/>
                <w:sz w:val="24"/>
              </w:rPr>
            </w:pPr>
            <w:r>
              <w:rPr>
                <w:b/>
                <w:sz w:val="24"/>
              </w:rPr>
              <w:t>19%</w:t>
            </w:r>
          </w:p>
        </w:tc>
        <w:tc>
          <w:tcPr>
            <w:tcW w:w="1381"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14%</w:t>
            </w:r>
          </w:p>
          <w:p w:rsidR="00DF7919" w:rsidRPr="005E3CFD" w:rsidRDefault="00DF7919" w:rsidP="00274CE7">
            <w:pPr>
              <w:jc w:val="center"/>
              <w:rPr>
                <w:b/>
                <w:sz w:val="24"/>
              </w:rPr>
            </w:pPr>
            <w:r>
              <w:rPr>
                <w:b/>
                <w:sz w:val="24"/>
              </w:rPr>
              <w:t>9%</w:t>
            </w:r>
          </w:p>
        </w:tc>
        <w:tc>
          <w:tcPr>
            <w:tcW w:w="1309"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25%</w:t>
            </w:r>
          </w:p>
          <w:p w:rsidR="00DF7919" w:rsidRPr="005E3CFD" w:rsidRDefault="00DF7919" w:rsidP="00274CE7">
            <w:pPr>
              <w:jc w:val="center"/>
              <w:rPr>
                <w:b/>
                <w:sz w:val="24"/>
              </w:rPr>
            </w:pPr>
            <w:r>
              <w:rPr>
                <w:b/>
                <w:sz w:val="24"/>
              </w:rPr>
              <w:t>20%</w:t>
            </w:r>
          </w:p>
        </w:tc>
        <w:tc>
          <w:tcPr>
            <w:tcW w:w="1309"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22%</w:t>
            </w:r>
          </w:p>
          <w:p w:rsidR="00DF7919" w:rsidRPr="005E3CFD" w:rsidRDefault="00DF7919" w:rsidP="00274CE7">
            <w:pPr>
              <w:jc w:val="center"/>
              <w:rPr>
                <w:b/>
                <w:sz w:val="24"/>
              </w:rPr>
            </w:pPr>
            <w:r>
              <w:rPr>
                <w:b/>
                <w:sz w:val="24"/>
              </w:rPr>
              <w:t>10%</w:t>
            </w:r>
          </w:p>
        </w:tc>
        <w:tc>
          <w:tcPr>
            <w:tcW w:w="1108"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Pr="005E3CFD" w:rsidRDefault="00DF7919" w:rsidP="00274CE7">
            <w:pPr>
              <w:jc w:val="center"/>
              <w:rPr>
                <w:b/>
                <w:sz w:val="24"/>
              </w:rPr>
            </w:pPr>
            <w:r>
              <w:rPr>
                <w:b/>
                <w:sz w:val="24"/>
              </w:rPr>
              <w:t>6%</w:t>
            </w:r>
          </w:p>
        </w:tc>
      </w:tr>
      <w:tr w:rsidR="00DF7919" w:rsidTr="00274CE7">
        <w:tc>
          <w:tcPr>
            <w:tcW w:w="3078" w:type="dxa"/>
          </w:tcPr>
          <w:p w:rsidR="00DF7919" w:rsidRDefault="00DF7919" w:rsidP="00274CE7">
            <w:pPr>
              <w:rPr>
                <w:b/>
                <w:sz w:val="24"/>
              </w:rPr>
            </w:pPr>
            <w:r>
              <w:rPr>
                <w:b/>
                <w:sz w:val="24"/>
              </w:rPr>
              <w:t xml:space="preserve">Districts </w:t>
            </w:r>
            <w:r w:rsidRPr="00CC1347">
              <w:rPr>
                <w:b/>
                <w:sz w:val="24"/>
                <w:u w:val="single"/>
              </w:rPr>
              <w:t>satisfying</w:t>
            </w:r>
            <w:r>
              <w:rPr>
                <w:b/>
                <w:sz w:val="24"/>
              </w:rPr>
              <w:t xml:space="preserve"> the single-party control metric</w:t>
            </w:r>
            <w:r>
              <w:rPr>
                <w:b/>
                <w:sz w:val="24"/>
              </w:rPr>
              <w:tab/>
            </w:r>
            <w:r>
              <w:rPr>
                <w:b/>
                <w:sz w:val="24"/>
              </w:rPr>
              <w:tab/>
            </w:r>
            <w:r>
              <w:rPr>
                <w:b/>
                <w:sz w:val="24"/>
              </w:rPr>
              <w:tab/>
            </w:r>
          </w:p>
          <w:p w:rsidR="00DF7919" w:rsidRDefault="00DF7919" w:rsidP="00274CE7">
            <w:pPr>
              <w:rPr>
                <w:b/>
                <w:sz w:val="24"/>
              </w:rPr>
            </w:pPr>
            <w:r>
              <w:rPr>
                <w:b/>
                <w:sz w:val="24"/>
              </w:rPr>
              <w:t>--all years X4, X6, X8, X0</w:t>
            </w:r>
          </w:p>
          <w:p w:rsidR="00DF7919" w:rsidRDefault="00DF7919" w:rsidP="00274CE7">
            <w:pPr>
              <w:rPr>
                <w:b/>
                <w:sz w:val="24"/>
              </w:rPr>
            </w:pPr>
            <w:r>
              <w:rPr>
                <w:b/>
                <w:sz w:val="24"/>
              </w:rPr>
              <w:t>--just years X4, X6</w:t>
            </w:r>
          </w:p>
          <w:p w:rsidR="00DF7919" w:rsidRDefault="00DF7919" w:rsidP="00274CE7">
            <w:pPr>
              <w:rPr>
                <w:sz w:val="24"/>
              </w:rPr>
            </w:pPr>
          </w:p>
        </w:tc>
        <w:tc>
          <w:tcPr>
            <w:tcW w:w="1391"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30%</w:t>
            </w:r>
          </w:p>
          <w:p w:rsidR="00DF7919" w:rsidRPr="005E3CFD" w:rsidRDefault="00DF7919" w:rsidP="00274CE7">
            <w:pPr>
              <w:jc w:val="center"/>
              <w:rPr>
                <w:b/>
                <w:sz w:val="24"/>
              </w:rPr>
            </w:pPr>
            <w:r>
              <w:rPr>
                <w:b/>
                <w:sz w:val="24"/>
              </w:rPr>
              <w:t>19%</w:t>
            </w:r>
          </w:p>
        </w:tc>
        <w:tc>
          <w:tcPr>
            <w:tcW w:w="1381"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16%</w:t>
            </w:r>
          </w:p>
          <w:p w:rsidR="00DF7919" w:rsidRPr="005E3CFD" w:rsidRDefault="00DF7919" w:rsidP="00274CE7">
            <w:pPr>
              <w:jc w:val="center"/>
              <w:rPr>
                <w:b/>
                <w:sz w:val="24"/>
              </w:rPr>
            </w:pPr>
            <w:r>
              <w:rPr>
                <w:b/>
                <w:sz w:val="24"/>
              </w:rPr>
              <w:t>10%</w:t>
            </w:r>
          </w:p>
        </w:tc>
        <w:tc>
          <w:tcPr>
            <w:tcW w:w="1309"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26%</w:t>
            </w:r>
          </w:p>
          <w:p w:rsidR="00DF7919" w:rsidRPr="005E3CFD" w:rsidRDefault="00DF7919" w:rsidP="00274CE7">
            <w:pPr>
              <w:jc w:val="center"/>
              <w:rPr>
                <w:b/>
                <w:sz w:val="24"/>
              </w:rPr>
            </w:pPr>
            <w:r>
              <w:rPr>
                <w:b/>
                <w:sz w:val="24"/>
              </w:rPr>
              <w:t>22%</w:t>
            </w:r>
          </w:p>
        </w:tc>
        <w:tc>
          <w:tcPr>
            <w:tcW w:w="1309"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b/>
                <w:sz w:val="24"/>
              </w:rPr>
            </w:pPr>
            <w:r>
              <w:rPr>
                <w:b/>
                <w:sz w:val="24"/>
              </w:rPr>
              <w:t>17%</w:t>
            </w:r>
          </w:p>
          <w:p w:rsidR="00DF7919" w:rsidRPr="005E3CFD" w:rsidRDefault="00DF7919" w:rsidP="00274CE7">
            <w:pPr>
              <w:jc w:val="center"/>
              <w:rPr>
                <w:b/>
                <w:sz w:val="24"/>
              </w:rPr>
            </w:pPr>
            <w:r>
              <w:rPr>
                <w:b/>
                <w:sz w:val="24"/>
              </w:rPr>
              <w:t>6%</w:t>
            </w:r>
          </w:p>
        </w:tc>
        <w:tc>
          <w:tcPr>
            <w:tcW w:w="1108" w:type="dxa"/>
          </w:tcPr>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Default="00DF7919" w:rsidP="00274CE7">
            <w:pPr>
              <w:jc w:val="center"/>
              <w:rPr>
                <w:sz w:val="24"/>
              </w:rPr>
            </w:pPr>
          </w:p>
          <w:p w:rsidR="00DF7919" w:rsidRPr="005E3CFD" w:rsidRDefault="00DF7919" w:rsidP="00274CE7">
            <w:pPr>
              <w:jc w:val="center"/>
              <w:rPr>
                <w:b/>
                <w:sz w:val="24"/>
              </w:rPr>
            </w:pPr>
            <w:r>
              <w:rPr>
                <w:b/>
                <w:sz w:val="24"/>
              </w:rPr>
              <w:t>5%</w:t>
            </w:r>
          </w:p>
        </w:tc>
      </w:tr>
      <w:tr w:rsidR="00DF7919" w:rsidTr="00274CE7">
        <w:tc>
          <w:tcPr>
            <w:tcW w:w="3078" w:type="dxa"/>
          </w:tcPr>
          <w:p w:rsidR="00DF7919" w:rsidRDefault="00DF7919" w:rsidP="00274CE7">
            <w:pPr>
              <w:rPr>
                <w:b/>
                <w:sz w:val="24"/>
              </w:rPr>
            </w:pPr>
            <w:r>
              <w:rPr>
                <w:b/>
                <w:sz w:val="24"/>
              </w:rPr>
              <w:t xml:space="preserve">Districts </w:t>
            </w:r>
            <w:r w:rsidRPr="00CC1347">
              <w:rPr>
                <w:b/>
                <w:sz w:val="24"/>
                <w:u w:val="single"/>
              </w:rPr>
              <w:t>not satisfyin</w:t>
            </w:r>
            <w:r>
              <w:rPr>
                <w:b/>
                <w:sz w:val="24"/>
                <w:u w:val="single"/>
              </w:rPr>
              <w:t>g</w:t>
            </w:r>
            <w:r>
              <w:rPr>
                <w:b/>
                <w:sz w:val="24"/>
              </w:rPr>
              <w:t xml:space="preserve"> the single-party-control metric</w:t>
            </w:r>
          </w:p>
          <w:p w:rsidR="00DF7919" w:rsidRDefault="00DF7919" w:rsidP="00274CE7">
            <w:pPr>
              <w:rPr>
                <w:b/>
                <w:sz w:val="24"/>
              </w:rPr>
            </w:pPr>
            <w:r>
              <w:rPr>
                <w:b/>
                <w:sz w:val="24"/>
              </w:rPr>
              <w:t xml:space="preserve">   </w:t>
            </w:r>
          </w:p>
          <w:p w:rsidR="00DF7919" w:rsidRDefault="00DF7919" w:rsidP="00274CE7">
            <w:pPr>
              <w:rPr>
                <w:b/>
                <w:sz w:val="24"/>
              </w:rPr>
            </w:pPr>
            <w:r>
              <w:rPr>
                <w:b/>
                <w:sz w:val="24"/>
              </w:rPr>
              <w:t>--all years X4, X6, X8, X0</w:t>
            </w:r>
          </w:p>
          <w:p w:rsidR="00DF7919" w:rsidRDefault="00DF7919" w:rsidP="00274CE7">
            <w:pPr>
              <w:rPr>
                <w:b/>
                <w:sz w:val="24"/>
              </w:rPr>
            </w:pPr>
            <w:r>
              <w:rPr>
                <w:b/>
                <w:sz w:val="24"/>
              </w:rPr>
              <w:t>--just years X4, X6</w:t>
            </w:r>
          </w:p>
          <w:p w:rsidR="00DF7919" w:rsidRDefault="00DF7919" w:rsidP="00274CE7">
            <w:pPr>
              <w:rPr>
                <w:sz w:val="24"/>
              </w:rPr>
            </w:pPr>
          </w:p>
        </w:tc>
        <w:tc>
          <w:tcPr>
            <w:tcW w:w="1391" w:type="dxa"/>
          </w:tcPr>
          <w:p w:rsidR="00DF7919" w:rsidRDefault="00DF7919" w:rsidP="00274CE7">
            <w:pPr>
              <w:jc w:val="center"/>
              <w:rPr>
                <w:sz w:val="24"/>
              </w:rPr>
            </w:pPr>
          </w:p>
          <w:p w:rsidR="00DF7919" w:rsidRDefault="00DF7919" w:rsidP="00274CE7">
            <w:pPr>
              <w:rPr>
                <w:sz w:val="24"/>
              </w:rPr>
            </w:pPr>
          </w:p>
          <w:p w:rsidR="00DF7919" w:rsidRDefault="00DF7919" w:rsidP="00274CE7">
            <w:pPr>
              <w:rPr>
                <w:sz w:val="24"/>
              </w:rPr>
            </w:pPr>
          </w:p>
          <w:p w:rsidR="00DF7919" w:rsidRDefault="00DF7919" w:rsidP="00274CE7">
            <w:pPr>
              <w:jc w:val="center"/>
              <w:rPr>
                <w:b/>
                <w:sz w:val="24"/>
              </w:rPr>
            </w:pPr>
            <w:r>
              <w:rPr>
                <w:b/>
                <w:sz w:val="24"/>
              </w:rPr>
              <w:t>33%</w:t>
            </w:r>
          </w:p>
          <w:p w:rsidR="00DF7919" w:rsidRPr="005E3CFD" w:rsidRDefault="00DF7919" w:rsidP="00274CE7">
            <w:pPr>
              <w:jc w:val="center"/>
              <w:rPr>
                <w:b/>
                <w:sz w:val="24"/>
              </w:rPr>
            </w:pPr>
            <w:r>
              <w:rPr>
                <w:b/>
                <w:sz w:val="24"/>
              </w:rPr>
              <w:t>19%</w:t>
            </w:r>
          </w:p>
        </w:tc>
        <w:tc>
          <w:tcPr>
            <w:tcW w:w="1381" w:type="dxa"/>
          </w:tcPr>
          <w:p w:rsidR="00DF7919" w:rsidRDefault="00DF7919" w:rsidP="00274CE7">
            <w:pPr>
              <w:jc w:val="center"/>
              <w:rPr>
                <w:sz w:val="24"/>
              </w:rPr>
            </w:pPr>
          </w:p>
          <w:p w:rsidR="00DF7919" w:rsidRDefault="00DF7919" w:rsidP="00274CE7">
            <w:pPr>
              <w:rPr>
                <w:sz w:val="24"/>
              </w:rPr>
            </w:pPr>
          </w:p>
          <w:p w:rsidR="00DF7919" w:rsidRDefault="00DF7919" w:rsidP="00274CE7">
            <w:pPr>
              <w:rPr>
                <w:sz w:val="24"/>
              </w:rPr>
            </w:pPr>
          </w:p>
          <w:p w:rsidR="00DF7919" w:rsidRDefault="00DF7919" w:rsidP="00274CE7">
            <w:pPr>
              <w:jc w:val="center"/>
              <w:rPr>
                <w:b/>
                <w:sz w:val="24"/>
              </w:rPr>
            </w:pPr>
            <w:r>
              <w:rPr>
                <w:b/>
                <w:sz w:val="24"/>
              </w:rPr>
              <w:t>12%</w:t>
            </w:r>
          </w:p>
          <w:p w:rsidR="00DF7919" w:rsidRPr="005E3CFD" w:rsidRDefault="00DF7919" w:rsidP="00274CE7">
            <w:pPr>
              <w:jc w:val="center"/>
              <w:rPr>
                <w:b/>
                <w:sz w:val="24"/>
              </w:rPr>
            </w:pPr>
            <w:r>
              <w:rPr>
                <w:b/>
                <w:sz w:val="24"/>
              </w:rPr>
              <w:t>8%</w:t>
            </w:r>
          </w:p>
        </w:tc>
        <w:tc>
          <w:tcPr>
            <w:tcW w:w="1309" w:type="dxa"/>
          </w:tcPr>
          <w:p w:rsidR="00DF7919" w:rsidRDefault="00DF7919" w:rsidP="00274CE7">
            <w:pPr>
              <w:jc w:val="center"/>
              <w:rPr>
                <w:sz w:val="24"/>
              </w:rPr>
            </w:pPr>
          </w:p>
          <w:p w:rsidR="00DF7919" w:rsidRDefault="00DF7919" w:rsidP="00274CE7">
            <w:pPr>
              <w:rPr>
                <w:sz w:val="24"/>
              </w:rPr>
            </w:pPr>
          </w:p>
          <w:p w:rsidR="00DF7919" w:rsidRDefault="00DF7919" w:rsidP="00274CE7">
            <w:pPr>
              <w:rPr>
                <w:sz w:val="24"/>
              </w:rPr>
            </w:pPr>
          </w:p>
          <w:p w:rsidR="00DF7919" w:rsidRDefault="00DF7919" w:rsidP="00274CE7">
            <w:pPr>
              <w:jc w:val="center"/>
              <w:rPr>
                <w:b/>
                <w:sz w:val="24"/>
              </w:rPr>
            </w:pPr>
            <w:r>
              <w:rPr>
                <w:b/>
                <w:sz w:val="24"/>
              </w:rPr>
              <w:t>24%</w:t>
            </w:r>
          </w:p>
          <w:p w:rsidR="00DF7919" w:rsidRPr="005E3CFD" w:rsidRDefault="00DF7919" w:rsidP="00274CE7">
            <w:pPr>
              <w:jc w:val="center"/>
              <w:rPr>
                <w:b/>
                <w:sz w:val="24"/>
              </w:rPr>
            </w:pPr>
            <w:r>
              <w:rPr>
                <w:b/>
                <w:sz w:val="24"/>
              </w:rPr>
              <w:t>20%</w:t>
            </w:r>
          </w:p>
        </w:tc>
        <w:tc>
          <w:tcPr>
            <w:tcW w:w="1309" w:type="dxa"/>
          </w:tcPr>
          <w:p w:rsidR="00DF7919" w:rsidRDefault="00DF7919" w:rsidP="00274CE7">
            <w:pPr>
              <w:jc w:val="center"/>
              <w:rPr>
                <w:sz w:val="24"/>
              </w:rPr>
            </w:pPr>
          </w:p>
          <w:p w:rsidR="00DF7919" w:rsidRDefault="00DF7919" w:rsidP="00274CE7">
            <w:pPr>
              <w:rPr>
                <w:sz w:val="24"/>
              </w:rPr>
            </w:pPr>
          </w:p>
          <w:p w:rsidR="00DF7919" w:rsidRDefault="00DF7919" w:rsidP="00274CE7">
            <w:pPr>
              <w:rPr>
                <w:sz w:val="24"/>
              </w:rPr>
            </w:pPr>
          </w:p>
          <w:p w:rsidR="00DF7919" w:rsidRDefault="00DF7919" w:rsidP="00274CE7">
            <w:pPr>
              <w:jc w:val="center"/>
              <w:rPr>
                <w:b/>
                <w:sz w:val="24"/>
              </w:rPr>
            </w:pPr>
            <w:r>
              <w:rPr>
                <w:b/>
                <w:sz w:val="24"/>
              </w:rPr>
              <w:t>28%</w:t>
            </w:r>
          </w:p>
          <w:p w:rsidR="00DF7919" w:rsidRPr="005E3CFD" w:rsidRDefault="00DF7919" w:rsidP="00274CE7">
            <w:pPr>
              <w:jc w:val="center"/>
              <w:rPr>
                <w:b/>
                <w:sz w:val="24"/>
              </w:rPr>
            </w:pPr>
            <w:r>
              <w:rPr>
                <w:b/>
                <w:sz w:val="24"/>
              </w:rPr>
              <w:t>15%</w:t>
            </w:r>
          </w:p>
        </w:tc>
        <w:tc>
          <w:tcPr>
            <w:tcW w:w="1108" w:type="dxa"/>
          </w:tcPr>
          <w:p w:rsidR="00DF7919" w:rsidRDefault="00DF7919" w:rsidP="00274CE7">
            <w:pPr>
              <w:jc w:val="center"/>
              <w:rPr>
                <w:sz w:val="24"/>
              </w:rPr>
            </w:pPr>
          </w:p>
          <w:p w:rsidR="00DF7919" w:rsidRDefault="00DF7919" w:rsidP="00274CE7">
            <w:pPr>
              <w:rPr>
                <w:sz w:val="24"/>
              </w:rPr>
            </w:pPr>
          </w:p>
          <w:p w:rsidR="00DF7919" w:rsidRDefault="00DF7919" w:rsidP="00274CE7">
            <w:pPr>
              <w:rPr>
                <w:sz w:val="24"/>
              </w:rPr>
            </w:pPr>
          </w:p>
          <w:p w:rsidR="00DF7919" w:rsidRDefault="00DF7919" w:rsidP="00274CE7">
            <w:pPr>
              <w:jc w:val="center"/>
              <w:rPr>
                <w:sz w:val="24"/>
              </w:rPr>
            </w:pPr>
          </w:p>
          <w:p w:rsidR="00DF7919" w:rsidRPr="005E3CFD" w:rsidRDefault="00DF7919" w:rsidP="00274CE7">
            <w:pPr>
              <w:jc w:val="center"/>
              <w:rPr>
                <w:b/>
                <w:sz w:val="24"/>
              </w:rPr>
            </w:pPr>
            <w:r>
              <w:rPr>
                <w:b/>
                <w:sz w:val="24"/>
              </w:rPr>
              <w:t>9%</w:t>
            </w:r>
          </w:p>
        </w:tc>
      </w:tr>
    </w:tbl>
    <w:p w:rsidR="00DF7919" w:rsidRDefault="00DF7919" w:rsidP="00FA4490">
      <w:pPr>
        <w:spacing w:after="0" w:line="240" w:lineRule="auto"/>
        <w:rPr>
          <w:b/>
          <w:sz w:val="24"/>
        </w:rPr>
      </w:pPr>
    </w:p>
    <w:p w:rsidR="009F23BE" w:rsidRDefault="009F23BE" w:rsidP="00FA4490">
      <w:pPr>
        <w:spacing w:after="0" w:line="240" w:lineRule="auto"/>
        <w:rPr>
          <w:b/>
          <w:sz w:val="24"/>
        </w:rPr>
      </w:pPr>
    </w:p>
    <w:p w:rsidR="00223FCE" w:rsidRDefault="009F23BE" w:rsidP="00223FCE">
      <w:pPr>
        <w:spacing w:after="0" w:line="240" w:lineRule="auto"/>
        <w:rPr>
          <w:b/>
          <w:sz w:val="24"/>
        </w:rPr>
      </w:pPr>
      <w:r>
        <w:rPr>
          <w:b/>
          <w:sz w:val="24"/>
        </w:rPr>
        <w:tab/>
        <w:t xml:space="preserve">The results in </w:t>
      </w:r>
      <w:r w:rsidR="00D010FB">
        <w:rPr>
          <w:b/>
          <w:sz w:val="24"/>
        </w:rPr>
        <w:t xml:space="preserve">the table </w:t>
      </w:r>
      <w:r>
        <w:rPr>
          <w:b/>
          <w:sz w:val="24"/>
        </w:rPr>
        <w:t xml:space="preserve">are </w:t>
      </w:r>
      <w:r w:rsidR="00A177E2">
        <w:rPr>
          <w:b/>
          <w:sz w:val="24"/>
        </w:rPr>
        <w:t>scanty</w:t>
      </w:r>
      <w:r>
        <w:rPr>
          <w:b/>
          <w:sz w:val="24"/>
        </w:rPr>
        <w:t>.   Whatever the theorizing might be, there isn’t much evidence that district “frozenness” has prevailed more</w:t>
      </w:r>
      <w:r w:rsidR="000B4F29">
        <w:rPr>
          <w:b/>
          <w:sz w:val="24"/>
        </w:rPr>
        <w:t xml:space="preserve"> often, or less often, </w:t>
      </w:r>
      <w:r>
        <w:rPr>
          <w:b/>
          <w:sz w:val="24"/>
        </w:rPr>
        <w:t xml:space="preserve">among districts vulnerable to partisan gerrymandering as opposed to those not </w:t>
      </w:r>
      <w:r w:rsidR="00000DD6">
        <w:rPr>
          <w:b/>
          <w:sz w:val="24"/>
        </w:rPr>
        <w:t xml:space="preserve">thus </w:t>
      </w:r>
      <w:r>
        <w:rPr>
          <w:b/>
          <w:sz w:val="24"/>
        </w:rPr>
        <w:t xml:space="preserve">vulnerable.   How does the current decade perform?   So far, </w:t>
      </w:r>
      <w:r w:rsidR="000B4F29">
        <w:rPr>
          <w:b/>
          <w:sz w:val="24"/>
        </w:rPr>
        <w:t xml:space="preserve">we see an </w:t>
      </w:r>
      <w:r w:rsidR="00000DD6">
        <w:rPr>
          <w:b/>
          <w:sz w:val="24"/>
        </w:rPr>
        <w:t>especially</w:t>
      </w:r>
      <w:r>
        <w:rPr>
          <w:b/>
          <w:sz w:val="24"/>
        </w:rPr>
        <w:t xml:space="preserve"> low churn rate</w:t>
      </w:r>
      <w:r w:rsidR="00087FAA">
        <w:rPr>
          <w:b/>
          <w:sz w:val="24"/>
        </w:rPr>
        <w:t xml:space="preserve"> overall</w:t>
      </w:r>
      <w:r>
        <w:rPr>
          <w:b/>
          <w:sz w:val="24"/>
        </w:rPr>
        <w:t xml:space="preserve">. </w:t>
      </w:r>
      <w:r w:rsidR="004343EF">
        <w:rPr>
          <w:b/>
          <w:sz w:val="24"/>
        </w:rPr>
        <w:t xml:space="preserve"> Note the table’s low values in the right-hand column—6%, 5%, and 9%.  </w:t>
      </w:r>
      <w:r w:rsidR="00E41EF2">
        <w:rPr>
          <w:b/>
          <w:sz w:val="24"/>
        </w:rPr>
        <w:t xml:space="preserve">Those </w:t>
      </w:r>
      <w:r w:rsidR="0068424E">
        <w:rPr>
          <w:b/>
          <w:sz w:val="24"/>
        </w:rPr>
        <w:t xml:space="preserve">values </w:t>
      </w:r>
      <w:r w:rsidR="00E41EF2">
        <w:rPr>
          <w:b/>
          <w:sz w:val="24"/>
        </w:rPr>
        <w:t xml:space="preserve">hinge on turnovers in 2014 or 2016 in </w:t>
      </w:r>
      <w:r w:rsidR="004343EF">
        <w:rPr>
          <w:b/>
          <w:sz w:val="24"/>
        </w:rPr>
        <w:t xml:space="preserve">respectively </w:t>
      </w:r>
      <w:r w:rsidR="004343EF" w:rsidRPr="00D05431">
        <w:rPr>
          <w:b/>
          <w:sz w:val="24"/>
          <w:u w:val="single"/>
        </w:rPr>
        <w:t>all 435</w:t>
      </w:r>
      <w:r w:rsidR="004343EF" w:rsidRPr="00D05431">
        <w:rPr>
          <w:b/>
          <w:sz w:val="24"/>
        </w:rPr>
        <w:t xml:space="preserve"> districts</w:t>
      </w:r>
      <w:r w:rsidR="004343EF">
        <w:rPr>
          <w:b/>
          <w:sz w:val="24"/>
        </w:rPr>
        <w:t xml:space="preserve">, the districts </w:t>
      </w:r>
      <w:r w:rsidR="004343EF" w:rsidRPr="004343EF">
        <w:rPr>
          <w:b/>
          <w:sz w:val="24"/>
          <w:u w:val="single"/>
        </w:rPr>
        <w:t>satisfying</w:t>
      </w:r>
      <w:r w:rsidR="004343EF">
        <w:rPr>
          <w:b/>
          <w:sz w:val="24"/>
        </w:rPr>
        <w:t xml:space="preserve"> the single-party-control metric, and those </w:t>
      </w:r>
      <w:r w:rsidR="00670D1B">
        <w:rPr>
          <w:b/>
          <w:sz w:val="24"/>
          <w:u w:val="single"/>
        </w:rPr>
        <w:t>not satisfying</w:t>
      </w:r>
      <w:r w:rsidR="00670D1B">
        <w:rPr>
          <w:b/>
          <w:sz w:val="24"/>
        </w:rPr>
        <w:t xml:space="preserve"> the metric.  In this low-values respect, the </w:t>
      </w:r>
      <w:r w:rsidR="000B4F29">
        <w:rPr>
          <w:b/>
          <w:sz w:val="24"/>
        </w:rPr>
        <w:t xml:space="preserve">2010s </w:t>
      </w:r>
      <w:r>
        <w:rPr>
          <w:b/>
          <w:sz w:val="24"/>
        </w:rPr>
        <w:t xml:space="preserve">resembles most closely the 1980s, whose </w:t>
      </w:r>
      <w:r w:rsidR="00D010FB">
        <w:rPr>
          <w:b/>
          <w:sz w:val="24"/>
        </w:rPr>
        <w:t xml:space="preserve">Reagan </w:t>
      </w:r>
      <w:r w:rsidR="00223FCE">
        <w:rPr>
          <w:b/>
          <w:sz w:val="24"/>
        </w:rPr>
        <w:t xml:space="preserve">years X4 and X6 also lacked a national “wave” election </w:t>
      </w:r>
      <w:r w:rsidR="000B4F29">
        <w:rPr>
          <w:b/>
          <w:sz w:val="24"/>
        </w:rPr>
        <w:t xml:space="preserve">that swamped a party in </w:t>
      </w:r>
      <w:r w:rsidR="00000DD6">
        <w:rPr>
          <w:b/>
          <w:sz w:val="24"/>
        </w:rPr>
        <w:t>power</w:t>
      </w:r>
      <w:r w:rsidR="00D010FB">
        <w:rPr>
          <w:b/>
          <w:sz w:val="24"/>
        </w:rPr>
        <w:t>, at least regarding the House</w:t>
      </w:r>
      <w:r w:rsidR="00000DD6">
        <w:rPr>
          <w:b/>
          <w:sz w:val="24"/>
        </w:rPr>
        <w:t>.</w:t>
      </w:r>
      <w:r w:rsidR="00F5083F">
        <w:rPr>
          <w:b/>
          <w:sz w:val="24"/>
        </w:rPr>
        <w:t xml:space="preserve">  </w:t>
      </w:r>
      <w:r w:rsidR="00E41EF2">
        <w:rPr>
          <w:b/>
          <w:sz w:val="24"/>
        </w:rPr>
        <w:t xml:space="preserve">During </w:t>
      </w:r>
      <w:r w:rsidR="00670D1B">
        <w:rPr>
          <w:b/>
          <w:sz w:val="24"/>
        </w:rPr>
        <w:t xml:space="preserve">the 2010s, a lot of frozenness has been going on, period, regardless of circumstances of party control.  </w:t>
      </w:r>
      <w:r w:rsidR="000B4F29">
        <w:rPr>
          <w:b/>
          <w:sz w:val="24"/>
        </w:rPr>
        <w:t xml:space="preserve">  </w:t>
      </w:r>
      <w:r w:rsidR="00223FCE">
        <w:rPr>
          <w:b/>
          <w:sz w:val="24"/>
        </w:rPr>
        <w:t xml:space="preserve">  </w:t>
      </w:r>
    </w:p>
    <w:p w:rsidR="00E006A6" w:rsidRDefault="00E006A6" w:rsidP="00223FCE">
      <w:pPr>
        <w:spacing w:after="0" w:line="240" w:lineRule="auto"/>
        <w:rPr>
          <w:b/>
          <w:sz w:val="24"/>
        </w:rPr>
      </w:pPr>
    </w:p>
    <w:p w:rsidR="00AA1E68" w:rsidRDefault="00E006A6" w:rsidP="00522BE8">
      <w:pPr>
        <w:spacing w:after="0" w:line="240" w:lineRule="auto"/>
        <w:rPr>
          <w:b/>
          <w:sz w:val="24"/>
        </w:rPr>
      </w:pPr>
      <w:r>
        <w:rPr>
          <w:b/>
          <w:sz w:val="24"/>
        </w:rPr>
        <w:tab/>
        <w:t xml:space="preserve">Briefly anyway, what can be said about </w:t>
      </w:r>
      <w:r w:rsidR="00907CA1">
        <w:rPr>
          <w:b/>
          <w:sz w:val="24"/>
        </w:rPr>
        <w:t xml:space="preserve">any </w:t>
      </w:r>
      <w:r>
        <w:rPr>
          <w:b/>
          <w:sz w:val="24"/>
        </w:rPr>
        <w:t xml:space="preserve">patterns of post-X2 </w:t>
      </w:r>
      <w:r w:rsidR="00907CA1">
        <w:rPr>
          <w:b/>
          <w:sz w:val="24"/>
        </w:rPr>
        <w:t xml:space="preserve">partisan </w:t>
      </w:r>
      <w:r>
        <w:rPr>
          <w:b/>
          <w:sz w:val="24"/>
        </w:rPr>
        <w:t xml:space="preserve">churn?  Edgy national elections like those of 1974, 1994, 2006, and 2010 </w:t>
      </w:r>
      <w:r w:rsidR="00522BE8">
        <w:rPr>
          <w:b/>
          <w:sz w:val="24"/>
        </w:rPr>
        <w:t xml:space="preserve">are </w:t>
      </w:r>
      <w:r w:rsidR="00907CA1">
        <w:rPr>
          <w:b/>
          <w:sz w:val="24"/>
        </w:rPr>
        <w:t xml:space="preserve">an obvious </w:t>
      </w:r>
      <w:r>
        <w:rPr>
          <w:b/>
          <w:sz w:val="24"/>
        </w:rPr>
        <w:t>major factor.  Occasionally, for one reason or another, a state has redrawn its district lines</w:t>
      </w:r>
      <w:r w:rsidR="00064521">
        <w:rPr>
          <w:b/>
          <w:sz w:val="24"/>
        </w:rPr>
        <w:t xml:space="preserve"> at a juncture later than X2.  </w:t>
      </w:r>
      <w:r>
        <w:rPr>
          <w:b/>
          <w:sz w:val="24"/>
        </w:rPr>
        <w:t>The Republican</w:t>
      </w:r>
      <w:r w:rsidR="001A492C">
        <w:rPr>
          <w:b/>
          <w:sz w:val="24"/>
        </w:rPr>
        <w:t>s</w:t>
      </w:r>
      <w:r>
        <w:rPr>
          <w:b/>
          <w:sz w:val="24"/>
        </w:rPr>
        <w:t xml:space="preserve"> shook up the Texas map</w:t>
      </w:r>
      <w:r w:rsidR="00522BE8">
        <w:rPr>
          <w:b/>
          <w:sz w:val="24"/>
        </w:rPr>
        <w:t xml:space="preserve"> during </w:t>
      </w:r>
      <w:r>
        <w:rPr>
          <w:b/>
          <w:sz w:val="24"/>
        </w:rPr>
        <w:t>2003-04</w:t>
      </w:r>
      <w:r w:rsidR="00907CA1">
        <w:rPr>
          <w:b/>
          <w:sz w:val="24"/>
        </w:rPr>
        <w:t>,</w:t>
      </w:r>
      <w:r>
        <w:rPr>
          <w:b/>
          <w:sz w:val="24"/>
        </w:rPr>
        <w:t xml:space="preserve"> </w:t>
      </w:r>
      <w:r w:rsidR="00907CA1">
        <w:rPr>
          <w:b/>
          <w:sz w:val="24"/>
        </w:rPr>
        <w:t xml:space="preserve">netting themselves six new seats, </w:t>
      </w:r>
      <w:r w:rsidR="00522BE8">
        <w:rPr>
          <w:b/>
          <w:sz w:val="24"/>
        </w:rPr>
        <w:t xml:space="preserve">after </w:t>
      </w:r>
      <w:r>
        <w:rPr>
          <w:b/>
          <w:sz w:val="24"/>
        </w:rPr>
        <w:t xml:space="preserve">their historic full takeover of that state in the election of 2002.  Courts </w:t>
      </w:r>
      <w:r w:rsidR="001A492C">
        <w:rPr>
          <w:b/>
          <w:sz w:val="24"/>
        </w:rPr>
        <w:t xml:space="preserve">can order </w:t>
      </w:r>
      <w:r>
        <w:rPr>
          <w:b/>
          <w:sz w:val="24"/>
        </w:rPr>
        <w:t>redraws</w:t>
      </w:r>
      <w:r w:rsidR="00907CA1">
        <w:rPr>
          <w:b/>
          <w:sz w:val="24"/>
        </w:rPr>
        <w:t>.  Those have occurred in the current decade</w:t>
      </w:r>
      <w:r w:rsidR="001A492C">
        <w:rPr>
          <w:b/>
          <w:sz w:val="24"/>
        </w:rPr>
        <w:t xml:space="preserve"> in at least Florida and Virginia, and </w:t>
      </w:r>
      <w:r w:rsidR="00907CA1">
        <w:rPr>
          <w:b/>
          <w:sz w:val="24"/>
        </w:rPr>
        <w:t xml:space="preserve">in calendar 2018 </w:t>
      </w:r>
      <w:r w:rsidR="001A492C">
        <w:rPr>
          <w:b/>
          <w:sz w:val="24"/>
        </w:rPr>
        <w:t>i</w:t>
      </w:r>
      <w:r w:rsidR="00907CA1">
        <w:rPr>
          <w:b/>
          <w:sz w:val="24"/>
        </w:rPr>
        <w:t xml:space="preserve">n Pennsylvania.  </w:t>
      </w:r>
      <w:r w:rsidR="00522BE8">
        <w:rPr>
          <w:b/>
          <w:sz w:val="24"/>
        </w:rPr>
        <w:t xml:space="preserve">Districts can </w:t>
      </w:r>
      <w:r w:rsidR="001A492C">
        <w:rPr>
          <w:b/>
          <w:sz w:val="24"/>
        </w:rPr>
        <w:t>be showcases of id</w:t>
      </w:r>
      <w:r w:rsidR="00522BE8">
        <w:rPr>
          <w:b/>
          <w:sz w:val="24"/>
        </w:rPr>
        <w:t xml:space="preserve">eological or demographic </w:t>
      </w:r>
      <w:r w:rsidR="00522BE8">
        <w:rPr>
          <w:b/>
          <w:sz w:val="24"/>
        </w:rPr>
        <w:lastRenderedPageBreak/>
        <w:t xml:space="preserve">drift, as </w:t>
      </w:r>
      <w:r w:rsidR="001A492C">
        <w:rPr>
          <w:b/>
          <w:sz w:val="24"/>
        </w:rPr>
        <w:t xml:space="preserve">possibly </w:t>
      </w:r>
      <w:r w:rsidR="00522BE8">
        <w:rPr>
          <w:b/>
          <w:sz w:val="24"/>
        </w:rPr>
        <w:t>instanced</w:t>
      </w:r>
      <w:r w:rsidR="00AF3729">
        <w:rPr>
          <w:b/>
          <w:sz w:val="24"/>
        </w:rPr>
        <w:t xml:space="preserve"> during in </w:t>
      </w:r>
      <w:r w:rsidR="001A492C">
        <w:rPr>
          <w:b/>
          <w:sz w:val="24"/>
        </w:rPr>
        <w:t xml:space="preserve">this decade in the party turnovers in </w:t>
      </w:r>
      <w:r w:rsidR="00522BE8">
        <w:rPr>
          <w:b/>
          <w:sz w:val="24"/>
        </w:rPr>
        <w:t xml:space="preserve">GA12, IA1, ME2, NJ5, NY21, NC7, and UT4.  </w:t>
      </w:r>
    </w:p>
    <w:p w:rsidR="00AA1E68" w:rsidRDefault="00AA1E68" w:rsidP="00522BE8">
      <w:pPr>
        <w:spacing w:after="0" w:line="240" w:lineRule="auto"/>
        <w:rPr>
          <w:b/>
          <w:sz w:val="24"/>
        </w:rPr>
      </w:pPr>
    </w:p>
    <w:p w:rsidR="00957B28" w:rsidRDefault="003701BD" w:rsidP="00AA1E68">
      <w:pPr>
        <w:spacing w:after="0" w:line="240" w:lineRule="auto"/>
        <w:ind w:firstLine="720"/>
        <w:rPr>
          <w:b/>
          <w:sz w:val="24"/>
        </w:rPr>
      </w:pPr>
      <w:r>
        <w:rPr>
          <w:b/>
          <w:sz w:val="24"/>
        </w:rPr>
        <w:t xml:space="preserve">There is one striking pattern.  “Open seats,” those lacking incumbents on the November ballot, are a friendly location of partisan churn.  </w:t>
      </w:r>
      <w:r w:rsidR="006D49CE">
        <w:rPr>
          <w:b/>
          <w:sz w:val="24"/>
        </w:rPr>
        <w:t xml:space="preserve">This is a calculation innocent of anything to do with conditions of party control.  </w:t>
      </w:r>
      <w:r>
        <w:rPr>
          <w:b/>
          <w:sz w:val="24"/>
        </w:rPr>
        <w:t xml:space="preserve">The causation </w:t>
      </w:r>
      <w:r w:rsidR="00AF3729">
        <w:rPr>
          <w:b/>
          <w:sz w:val="24"/>
        </w:rPr>
        <w:t xml:space="preserve">here </w:t>
      </w:r>
      <w:r>
        <w:rPr>
          <w:b/>
          <w:sz w:val="24"/>
        </w:rPr>
        <w:t xml:space="preserve">may be muddy, but the pattern is clear.  See </w:t>
      </w:r>
      <w:r w:rsidR="004343EF">
        <w:rPr>
          <w:b/>
          <w:sz w:val="24"/>
        </w:rPr>
        <w:t>Table 2</w:t>
      </w:r>
      <w:r>
        <w:rPr>
          <w:b/>
          <w:sz w:val="24"/>
        </w:rPr>
        <w:t xml:space="preserve">.  Across the five decades, a </w:t>
      </w:r>
      <w:r w:rsidR="00F720EA">
        <w:rPr>
          <w:b/>
          <w:sz w:val="24"/>
        </w:rPr>
        <w:t xml:space="preserve">range of 36% </w:t>
      </w:r>
      <w:r w:rsidR="00C55AAE">
        <w:rPr>
          <w:b/>
          <w:sz w:val="24"/>
        </w:rPr>
        <w:t>t</w:t>
      </w:r>
      <w:r w:rsidR="00F720EA">
        <w:rPr>
          <w:b/>
          <w:sz w:val="24"/>
        </w:rPr>
        <w:t>o 53% of post-X2 partisan se</w:t>
      </w:r>
      <w:r w:rsidR="00064521">
        <w:rPr>
          <w:b/>
          <w:sz w:val="24"/>
        </w:rPr>
        <w:t>a</w:t>
      </w:r>
      <w:r w:rsidR="00F720EA">
        <w:rPr>
          <w:b/>
          <w:sz w:val="24"/>
        </w:rPr>
        <w:t>t turnovers ha</w:t>
      </w:r>
      <w:r>
        <w:rPr>
          <w:b/>
          <w:sz w:val="24"/>
        </w:rPr>
        <w:t>ve taken place where seats were “open.”</w:t>
      </w:r>
      <w:r w:rsidR="006D49CE">
        <w:rPr>
          <w:rStyle w:val="FootnoteReference"/>
          <w:b/>
          <w:sz w:val="24"/>
        </w:rPr>
        <w:footnoteReference w:id="2"/>
      </w:r>
      <w:r>
        <w:rPr>
          <w:b/>
          <w:sz w:val="24"/>
        </w:rPr>
        <w:t xml:space="preserve">  </w:t>
      </w:r>
      <w:r w:rsidR="00F720EA">
        <w:rPr>
          <w:b/>
          <w:sz w:val="24"/>
        </w:rPr>
        <w:t xml:space="preserve">The figure bounces around a bit using data for </w:t>
      </w:r>
      <w:r w:rsidR="00D31617">
        <w:rPr>
          <w:b/>
          <w:sz w:val="24"/>
        </w:rPr>
        <w:t xml:space="preserve">just the </w:t>
      </w:r>
      <w:r w:rsidR="00AF3729">
        <w:rPr>
          <w:b/>
          <w:sz w:val="24"/>
        </w:rPr>
        <w:t xml:space="preserve">pair of </w:t>
      </w:r>
      <w:r w:rsidR="00F720EA">
        <w:rPr>
          <w:b/>
          <w:sz w:val="24"/>
        </w:rPr>
        <w:t>X4</w:t>
      </w:r>
      <w:r w:rsidR="00D31617">
        <w:rPr>
          <w:b/>
          <w:sz w:val="24"/>
        </w:rPr>
        <w:t xml:space="preserve"> and</w:t>
      </w:r>
      <w:r w:rsidR="00F720EA">
        <w:rPr>
          <w:b/>
          <w:sz w:val="24"/>
        </w:rPr>
        <w:t xml:space="preserve"> X6 elections, but it is steadier using data for all </w:t>
      </w:r>
      <w:r w:rsidR="00D31617">
        <w:rPr>
          <w:b/>
          <w:sz w:val="24"/>
        </w:rPr>
        <w:t>four of a</w:t>
      </w:r>
      <w:r w:rsidR="00830452">
        <w:rPr>
          <w:b/>
          <w:sz w:val="24"/>
        </w:rPr>
        <w:t>ny</w:t>
      </w:r>
      <w:r w:rsidR="00D31617">
        <w:rPr>
          <w:b/>
          <w:sz w:val="24"/>
        </w:rPr>
        <w:t xml:space="preserve"> decade’s post-X2 </w:t>
      </w:r>
      <w:r w:rsidR="00F720EA">
        <w:rPr>
          <w:b/>
          <w:sz w:val="24"/>
        </w:rPr>
        <w:t xml:space="preserve">elections.  </w:t>
      </w:r>
      <w:r w:rsidR="00AA1E68">
        <w:rPr>
          <w:b/>
          <w:sz w:val="24"/>
        </w:rPr>
        <w:t xml:space="preserve">Put it this way:  Nearly half the </w:t>
      </w:r>
      <w:r w:rsidR="003A4901">
        <w:rPr>
          <w:b/>
          <w:sz w:val="24"/>
        </w:rPr>
        <w:t xml:space="preserve">post-X2 </w:t>
      </w:r>
      <w:r w:rsidR="00AA1E68">
        <w:rPr>
          <w:b/>
          <w:sz w:val="24"/>
        </w:rPr>
        <w:t xml:space="preserve">partisan turnovers </w:t>
      </w:r>
      <w:r w:rsidR="0073286F">
        <w:rPr>
          <w:b/>
          <w:sz w:val="24"/>
        </w:rPr>
        <w:t xml:space="preserve">of the last half century </w:t>
      </w:r>
      <w:r w:rsidR="00AA1E68">
        <w:rPr>
          <w:b/>
          <w:sz w:val="24"/>
        </w:rPr>
        <w:t xml:space="preserve">have occurred in open-seat circumstances.  </w:t>
      </w:r>
    </w:p>
    <w:p w:rsidR="003701BD" w:rsidRDefault="003701BD" w:rsidP="00522BE8">
      <w:pPr>
        <w:spacing w:after="0" w:line="240" w:lineRule="auto"/>
        <w:rPr>
          <w:b/>
          <w:sz w:val="24"/>
        </w:rPr>
      </w:pPr>
    </w:p>
    <w:p w:rsidR="00E42116" w:rsidRPr="009112F5" w:rsidRDefault="00E42116" w:rsidP="00E42116">
      <w:pPr>
        <w:spacing w:after="0" w:line="240" w:lineRule="auto"/>
        <w:rPr>
          <w:b/>
          <w:sz w:val="24"/>
          <w:u w:val="single"/>
        </w:rPr>
      </w:pPr>
      <w:r>
        <w:rPr>
          <w:b/>
          <w:sz w:val="24"/>
          <w:u w:val="single"/>
        </w:rPr>
        <w:t>Table 2: Of districts hosting partisan turnovers, what share of the turnovers occurred in open-seat situations?</w:t>
      </w:r>
    </w:p>
    <w:p w:rsidR="00E42116" w:rsidRDefault="00E42116" w:rsidP="00E42116">
      <w:pPr>
        <w:spacing w:after="0" w:line="240" w:lineRule="auto"/>
        <w:rPr>
          <w:b/>
          <w:sz w:val="24"/>
        </w:rPr>
      </w:pPr>
    </w:p>
    <w:tbl>
      <w:tblPr>
        <w:tblStyle w:val="TableGrid"/>
        <w:tblW w:w="0" w:type="auto"/>
        <w:tblLook w:val="04A0" w:firstRow="1" w:lastRow="0" w:firstColumn="1" w:lastColumn="0" w:noHBand="0" w:noVBand="1"/>
      </w:tblPr>
      <w:tblGrid>
        <w:gridCol w:w="2723"/>
        <w:gridCol w:w="1322"/>
        <w:gridCol w:w="1407"/>
        <w:gridCol w:w="1407"/>
        <w:gridCol w:w="1237"/>
        <w:gridCol w:w="1254"/>
      </w:tblGrid>
      <w:tr w:rsidR="00E42116" w:rsidTr="00274CE7">
        <w:tc>
          <w:tcPr>
            <w:tcW w:w="2808" w:type="dxa"/>
          </w:tcPr>
          <w:p w:rsidR="00E42116" w:rsidRDefault="00E42116" w:rsidP="00274CE7">
            <w:pPr>
              <w:rPr>
                <w:b/>
                <w:sz w:val="24"/>
              </w:rPr>
            </w:pPr>
          </w:p>
        </w:tc>
        <w:tc>
          <w:tcPr>
            <w:tcW w:w="1350" w:type="dxa"/>
          </w:tcPr>
          <w:p w:rsidR="00E42116" w:rsidRDefault="00E42116" w:rsidP="00274CE7">
            <w:pPr>
              <w:jc w:val="center"/>
              <w:rPr>
                <w:b/>
                <w:sz w:val="24"/>
              </w:rPr>
            </w:pPr>
            <w:r>
              <w:rPr>
                <w:b/>
                <w:sz w:val="24"/>
              </w:rPr>
              <w:t>1970s</w:t>
            </w:r>
          </w:p>
        </w:tc>
        <w:tc>
          <w:tcPr>
            <w:tcW w:w="1440" w:type="dxa"/>
          </w:tcPr>
          <w:p w:rsidR="00E42116" w:rsidRDefault="00E42116" w:rsidP="00274CE7">
            <w:pPr>
              <w:jc w:val="center"/>
              <w:rPr>
                <w:b/>
                <w:sz w:val="24"/>
              </w:rPr>
            </w:pPr>
            <w:r>
              <w:rPr>
                <w:b/>
                <w:sz w:val="24"/>
              </w:rPr>
              <w:t>1980s</w:t>
            </w:r>
          </w:p>
        </w:tc>
        <w:tc>
          <w:tcPr>
            <w:tcW w:w="1440" w:type="dxa"/>
          </w:tcPr>
          <w:p w:rsidR="00E42116" w:rsidRDefault="00E42116" w:rsidP="00274CE7">
            <w:pPr>
              <w:jc w:val="center"/>
              <w:rPr>
                <w:b/>
                <w:sz w:val="24"/>
              </w:rPr>
            </w:pPr>
            <w:r>
              <w:rPr>
                <w:b/>
                <w:sz w:val="24"/>
              </w:rPr>
              <w:t>1990s</w:t>
            </w:r>
          </w:p>
        </w:tc>
        <w:tc>
          <w:tcPr>
            <w:tcW w:w="1260" w:type="dxa"/>
          </w:tcPr>
          <w:p w:rsidR="00E42116" w:rsidRDefault="00E42116" w:rsidP="00274CE7">
            <w:pPr>
              <w:jc w:val="center"/>
              <w:rPr>
                <w:b/>
                <w:sz w:val="24"/>
              </w:rPr>
            </w:pPr>
            <w:r>
              <w:rPr>
                <w:b/>
                <w:sz w:val="24"/>
              </w:rPr>
              <w:t>2000s</w:t>
            </w:r>
          </w:p>
        </w:tc>
        <w:tc>
          <w:tcPr>
            <w:tcW w:w="1278" w:type="dxa"/>
          </w:tcPr>
          <w:p w:rsidR="00E42116" w:rsidRDefault="00E42116" w:rsidP="00274CE7">
            <w:pPr>
              <w:jc w:val="center"/>
              <w:rPr>
                <w:b/>
                <w:sz w:val="24"/>
              </w:rPr>
            </w:pPr>
            <w:r>
              <w:rPr>
                <w:b/>
                <w:sz w:val="24"/>
              </w:rPr>
              <w:t>2010s</w:t>
            </w:r>
          </w:p>
          <w:p w:rsidR="00BD7EE1" w:rsidRDefault="00BD7EE1" w:rsidP="00274CE7">
            <w:pPr>
              <w:jc w:val="center"/>
              <w:rPr>
                <w:b/>
                <w:sz w:val="24"/>
              </w:rPr>
            </w:pPr>
          </w:p>
        </w:tc>
      </w:tr>
      <w:tr w:rsidR="00E42116" w:rsidTr="00274CE7">
        <w:tc>
          <w:tcPr>
            <w:tcW w:w="2808" w:type="dxa"/>
          </w:tcPr>
          <w:p w:rsidR="00E42116" w:rsidRDefault="00E42116" w:rsidP="00274CE7">
            <w:pPr>
              <w:rPr>
                <w:b/>
                <w:sz w:val="24"/>
              </w:rPr>
            </w:pPr>
            <w:r>
              <w:rPr>
                <w:b/>
                <w:sz w:val="24"/>
              </w:rPr>
              <w:t>Turnover occurred in year</w:t>
            </w:r>
          </w:p>
          <w:p w:rsidR="00E42116" w:rsidRDefault="00E42116" w:rsidP="00274CE7">
            <w:pPr>
              <w:rPr>
                <w:b/>
                <w:sz w:val="24"/>
              </w:rPr>
            </w:pPr>
            <w:r>
              <w:rPr>
                <w:b/>
                <w:sz w:val="24"/>
              </w:rPr>
              <w:t xml:space="preserve">X4, X6, X8, or X0 </w:t>
            </w:r>
          </w:p>
          <w:p w:rsidR="00E42116" w:rsidRDefault="00E42116" w:rsidP="00274CE7">
            <w:pPr>
              <w:rPr>
                <w:b/>
                <w:sz w:val="24"/>
              </w:rPr>
            </w:pPr>
            <w:r>
              <w:rPr>
                <w:b/>
                <w:sz w:val="24"/>
              </w:rPr>
              <w:t>of a decade</w:t>
            </w:r>
          </w:p>
          <w:p w:rsidR="00E42116" w:rsidRDefault="00E42116" w:rsidP="00274CE7">
            <w:pPr>
              <w:rPr>
                <w:b/>
                <w:sz w:val="24"/>
              </w:rPr>
            </w:pPr>
          </w:p>
        </w:tc>
        <w:tc>
          <w:tcPr>
            <w:tcW w:w="1350" w:type="dxa"/>
          </w:tcPr>
          <w:p w:rsidR="00E42116" w:rsidRDefault="00E42116" w:rsidP="00274CE7">
            <w:pPr>
              <w:jc w:val="center"/>
              <w:rPr>
                <w:b/>
                <w:sz w:val="24"/>
              </w:rPr>
            </w:pPr>
          </w:p>
          <w:p w:rsidR="00E42116" w:rsidRDefault="00E42116" w:rsidP="00274CE7">
            <w:pPr>
              <w:jc w:val="center"/>
              <w:rPr>
                <w:b/>
                <w:sz w:val="24"/>
              </w:rPr>
            </w:pPr>
            <w:r>
              <w:rPr>
                <w:b/>
                <w:sz w:val="24"/>
              </w:rPr>
              <w:t>41%</w:t>
            </w:r>
          </w:p>
        </w:tc>
        <w:tc>
          <w:tcPr>
            <w:tcW w:w="1440" w:type="dxa"/>
          </w:tcPr>
          <w:p w:rsidR="00E42116" w:rsidRDefault="00E42116" w:rsidP="00274CE7">
            <w:pPr>
              <w:jc w:val="center"/>
              <w:rPr>
                <w:b/>
                <w:sz w:val="24"/>
              </w:rPr>
            </w:pPr>
          </w:p>
          <w:p w:rsidR="00E42116" w:rsidRDefault="00E42116" w:rsidP="00274CE7">
            <w:pPr>
              <w:jc w:val="center"/>
              <w:rPr>
                <w:b/>
                <w:sz w:val="24"/>
              </w:rPr>
            </w:pPr>
            <w:r>
              <w:rPr>
                <w:b/>
                <w:sz w:val="24"/>
              </w:rPr>
              <w:t>48%</w:t>
            </w:r>
          </w:p>
        </w:tc>
        <w:tc>
          <w:tcPr>
            <w:tcW w:w="1440" w:type="dxa"/>
          </w:tcPr>
          <w:p w:rsidR="00E42116" w:rsidRDefault="00E42116" w:rsidP="00274CE7">
            <w:pPr>
              <w:jc w:val="center"/>
              <w:rPr>
                <w:b/>
                <w:sz w:val="24"/>
              </w:rPr>
            </w:pPr>
          </w:p>
          <w:p w:rsidR="00E42116" w:rsidRDefault="00E42116" w:rsidP="00274CE7">
            <w:pPr>
              <w:jc w:val="center"/>
              <w:rPr>
                <w:b/>
                <w:sz w:val="24"/>
              </w:rPr>
            </w:pPr>
            <w:r>
              <w:rPr>
                <w:b/>
                <w:sz w:val="24"/>
              </w:rPr>
              <w:t>50%</w:t>
            </w:r>
          </w:p>
        </w:tc>
        <w:tc>
          <w:tcPr>
            <w:tcW w:w="1260" w:type="dxa"/>
          </w:tcPr>
          <w:p w:rsidR="00E42116" w:rsidRDefault="00E42116" w:rsidP="00274CE7">
            <w:pPr>
              <w:jc w:val="center"/>
              <w:rPr>
                <w:b/>
                <w:sz w:val="24"/>
              </w:rPr>
            </w:pPr>
          </w:p>
          <w:p w:rsidR="00E42116" w:rsidRDefault="00E42116" w:rsidP="00274CE7">
            <w:pPr>
              <w:jc w:val="center"/>
              <w:rPr>
                <w:b/>
                <w:sz w:val="24"/>
              </w:rPr>
            </w:pPr>
            <w:r>
              <w:rPr>
                <w:b/>
                <w:sz w:val="24"/>
              </w:rPr>
              <w:t>42%</w:t>
            </w:r>
          </w:p>
        </w:tc>
        <w:tc>
          <w:tcPr>
            <w:tcW w:w="1278" w:type="dxa"/>
          </w:tcPr>
          <w:p w:rsidR="00E42116" w:rsidRDefault="00E42116" w:rsidP="00274CE7">
            <w:pPr>
              <w:jc w:val="center"/>
              <w:rPr>
                <w:b/>
                <w:sz w:val="24"/>
              </w:rPr>
            </w:pPr>
          </w:p>
          <w:p w:rsidR="00E42116" w:rsidRDefault="00E42116" w:rsidP="00274CE7">
            <w:pPr>
              <w:jc w:val="center"/>
              <w:rPr>
                <w:b/>
                <w:sz w:val="24"/>
              </w:rPr>
            </w:pPr>
          </w:p>
        </w:tc>
      </w:tr>
      <w:tr w:rsidR="00E42116" w:rsidTr="00274CE7">
        <w:tc>
          <w:tcPr>
            <w:tcW w:w="2808" w:type="dxa"/>
          </w:tcPr>
          <w:p w:rsidR="00E42116" w:rsidRDefault="00E42116" w:rsidP="00274CE7">
            <w:pPr>
              <w:rPr>
                <w:b/>
                <w:sz w:val="24"/>
              </w:rPr>
            </w:pPr>
            <w:r>
              <w:rPr>
                <w:b/>
                <w:sz w:val="24"/>
              </w:rPr>
              <w:t xml:space="preserve">Turnover occurred in </w:t>
            </w:r>
          </w:p>
          <w:p w:rsidR="00E42116" w:rsidRDefault="00E42116" w:rsidP="00274CE7">
            <w:pPr>
              <w:rPr>
                <w:b/>
                <w:sz w:val="24"/>
              </w:rPr>
            </w:pPr>
            <w:r>
              <w:rPr>
                <w:b/>
                <w:sz w:val="24"/>
              </w:rPr>
              <w:t>just year X4 or X6</w:t>
            </w:r>
          </w:p>
          <w:p w:rsidR="00E42116" w:rsidRDefault="00E42116" w:rsidP="00274CE7">
            <w:pPr>
              <w:rPr>
                <w:b/>
                <w:sz w:val="24"/>
              </w:rPr>
            </w:pPr>
            <w:r>
              <w:rPr>
                <w:b/>
                <w:sz w:val="24"/>
              </w:rPr>
              <w:t>of a decade</w:t>
            </w:r>
          </w:p>
          <w:p w:rsidR="00E42116" w:rsidRDefault="00E42116" w:rsidP="00274CE7">
            <w:pPr>
              <w:rPr>
                <w:b/>
                <w:sz w:val="24"/>
              </w:rPr>
            </w:pPr>
          </w:p>
        </w:tc>
        <w:tc>
          <w:tcPr>
            <w:tcW w:w="1350" w:type="dxa"/>
          </w:tcPr>
          <w:p w:rsidR="00E42116" w:rsidRDefault="00E42116" w:rsidP="00274CE7">
            <w:pPr>
              <w:jc w:val="center"/>
              <w:rPr>
                <w:b/>
                <w:sz w:val="24"/>
              </w:rPr>
            </w:pPr>
          </w:p>
          <w:p w:rsidR="00E42116" w:rsidRDefault="00E42116" w:rsidP="00274CE7">
            <w:pPr>
              <w:jc w:val="center"/>
              <w:rPr>
                <w:b/>
                <w:sz w:val="24"/>
              </w:rPr>
            </w:pPr>
            <w:r>
              <w:rPr>
                <w:b/>
                <w:sz w:val="24"/>
              </w:rPr>
              <w:t>39%</w:t>
            </w:r>
          </w:p>
        </w:tc>
        <w:tc>
          <w:tcPr>
            <w:tcW w:w="1440" w:type="dxa"/>
          </w:tcPr>
          <w:p w:rsidR="00E42116" w:rsidRDefault="00E42116" w:rsidP="00274CE7">
            <w:pPr>
              <w:jc w:val="center"/>
              <w:rPr>
                <w:b/>
                <w:sz w:val="24"/>
              </w:rPr>
            </w:pPr>
          </w:p>
          <w:p w:rsidR="00E42116" w:rsidRDefault="00E42116" w:rsidP="00274CE7">
            <w:pPr>
              <w:jc w:val="center"/>
              <w:rPr>
                <w:b/>
                <w:sz w:val="24"/>
              </w:rPr>
            </w:pPr>
            <w:r>
              <w:rPr>
                <w:b/>
                <w:sz w:val="24"/>
              </w:rPr>
              <w:t>53%</w:t>
            </w:r>
          </w:p>
        </w:tc>
        <w:tc>
          <w:tcPr>
            <w:tcW w:w="1440" w:type="dxa"/>
          </w:tcPr>
          <w:p w:rsidR="00E42116" w:rsidRDefault="00E42116" w:rsidP="00274CE7">
            <w:pPr>
              <w:jc w:val="center"/>
              <w:rPr>
                <w:b/>
                <w:sz w:val="24"/>
              </w:rPr>
            </w:pPr>
          </w:p>
          <w:p w:rsidR="00E42116" w:rsidRDefault="00E42116" w:rsidP="00274CE7">
            <w:pPr>
              <w:jc w:val="center"/>
              <w:rPr>
                <w:b/>
                <w:sz w:val="24"/>
              </w:rPr>
            </w:pPr>
            <w:r>
              <w:rPr>
                <w:b/>
                <w:sz w:val="24"/>
              </w:rPr>
              <w:t>46%</w:t>
            </w:r>
          </w:p>
        </w:tc>
        <w:tc>
          <w:tcPr>
            <w:tcW w:w="1260" w:type="dxa"/>
          </w:tcPr>
          <w:p w:rsidR="00E42116" w:rsidRDefault="00E42116" w:rsidP="00274CE7">
            <w:pPr>
              <w:jc w:val="center"/>
              <w:rPr>
                <w:b/>
                <w:sz w:val="24"/>
              </w:rPr>
            </w:pPr>
          </w:p>
          <w:p w:rsidR="00E42116" w:rsidRDefault="00E42116" w:rsidP="00274CE7">
            <w:pPr>
              <w:jc w:val="center"/>
              <w:rPr>
                <w:b/>
                <w:sz w:val="24"/>
              </w:rPr>
            </w:pPr>
            <w:r>
              <w:rPr>
                <w:b/>
                <w:sz w:val="24"/>
              </w:rPr>
              <w:t>36%</w:t>
            </w:r>
          </w:p>
        </w:tc>
        <w:tc>
          <w:tcPr>
            <w:tcW w:w="1278" w:type="dxa"/>
          </w:tcPr>
          <w:p w:rsidR="00E42116" w:rsidRDefault="00E42116" w:rsidP="00274CE7">
            <w:pPr>
              <w:jc w:val="center"/>
              <w:rPr>
                <w:b/>
                <w:sz w:val="24"/>
              </w:rPr>
            </w:pPr>
          </w:p>
          <w:p w:rsidR="00E42116" w:rsidRDefault="00E42116" w:rsidP="00274CE7">
            <w:pPr>
              <w:jc w:val="center"/>
              <w:rPr>
                <w:b/>
                <w:sz w:val="24"/>
              </w:rPr>
            </w:pPr>
            <w:r>
              <w:rPr>
                <w:b/>
                <w:sz w:val="24"/>
              </w:rPr>
              <w:t>42%</w:t>
            </w:r>
          </w:p>
        </w:tc>
      </w:tr>
    </w:tbl>
    <w:p w:rsidR="00E42116" w:rsidRDefault="000600E1" w:rsidP="00522BE8">
      <w:pPr>
        <w:spacing w:after="0" w:line="240" w:lineRule="auto"/>
        <w:rPr>
          <w:b/>
          <w:sz w:val="24"/>
        </w:rPr>
      </w:pPr>
      <w:r>
        <w:rPr>
          <w:b/>
          <w:sz w:val="24"/>
        </w:rPr>
        <w:br/>
      </w:r>
    </w:p>
    <w:p w:rsidR="000600E1" w:rsidRDefault="000600E1" w:rsidP="00522BE8">
      <w:pPr>
        <w:spacing w:after="0" w:line="240" w:lineRule="auto"/>
        <w:rPr>
          <w:b/>
          <w:sz w:val="24"/>
        </w:rPr>
      </w:pPr>
    </w:p>
    <w:p w:rsidR="000600E1" w:rsidRDefault="000600E1" w:rsidP="00522BE8">
      <w:pPr>
        <w:spacing w:after="0" w:line="240" w:lineRule="auto"/>
        <w:rPr>
          <w:b/>
          <w:sz w:val="24"/>
        </w:rPr>
      </w:pPr>
    </w:p>
    <w:p w:rsidR="000600E1" w:rsidRDefault="000600E1" w:rsidP="00522BE8">
      <w:pPr>
        <w:spacing w:after="0" w:line="240" w:lineRule="auto"/>
        <w:rPr>
          <w:b/>
          <w:sz w:val="24"/>
        </w:rPr>
      </w:pPr>
    </w:p>
    <w:p w:rsidR="000600E1" w:rsidRDefault="000600E1" w:rsidP="000600E1">
      <w:pPr>
        <w:spacing w:after="0" w:line="240" w:lineRule="auto"/>
        <w:rPr>
          <w:b/>
        </w:rPr>
      </w:pPr>
      <w:r>
        <w:rPr>
          <w:b/>
        </w:rPr>
        <w:t>Appendix A:  Numbers of states with single-party  control after a census, and total numbers of congressional districts to be drawn within those states</w:t>
      </w:r>
    </w:p>
    <w:p w:rsidR="000600E1" w:rsidRDefault="000600E1" w:rsidP="000600E1">
      <w:pPr>
        <w:spacing w:after="0" w:line="240" w:lineRule="auto"/>
        <w:rPr>
          <w:b/>
        </w:rPr>
      </w:pPr>
    </w:p>
    <w:p w:rsidR="000600E1" w:rsidRDefault="000600E1" w:rsidP="000600E1">
      <w:pPr>
        <w:spacing w:after="0" w:line="240" w:lineRule="auto"/>
        <w:rPr>
          <w:b/>
        </w:rPr>
      </w:pPr>
      <w:r>
        <w:rPr>
          <w:b/>
        </w:rPr>
        <w:tab/>
      </w:r>
      <w:r>
        <w:rPr>
          <w:b/>
        </w:rPr>
        <w:tab/>
      </w:r>
      <w:r>
        <w:rPr>
          <w:b/>
        </w:rPr>
        <w:tab/>
        <w:t xml:space="preserve"> Democratic-controlled states</w:t>
      </w:r>
      <w:r>
        <w:rPr>
          <w:b/>
        </w:rPr>
        <w:tab/>
      </w:r>
      <w:r>
        <w:rPr>
          <w:b/>
        </w:rPr>
        <w:tab/>
        <w:t>Republican-controlled states</w:t>
      </w:r>
    </w:p>
    <w:p w:rsidR="000600E1" w:rsidRDefault="000600E1" w:rsidP="000600E1">
      <w:pPr>
        <w:spacing w:after="0" w:line="240" w:lineRule="auto"/>
        <w:rPr>
          <w:b/>
        </w:rPr>
      </w:pPr>
    </w:p>
    <w:p w:rsidR="000600E1" w:rsidRDefault="000600E1" w:rsidP="000600E1">
      <w:pPr>
        <w:spacing w:after="0" w:line="240" w:lineRule="auto"/>
        <w:rPr>
          <w:b/>
        </w:rPr>
      </w:pPr>
      <w:r>
        <w:rPr>
          <w:b/>
        </w:rPr>
        <w:tab/>
      </w:r>
      <w:r>
        <w:rPr>
          <w:b/>
        </w:rPr>
        <w:tab/>
      </w:r>
      <w:r>
        <w:rPr>
          <w:b/>
        </w:rPr>
        <w:tab/>
        <w:t>N states</w:t>
      </w:r>
      <w:r>
        <w:rPr>
          <w:b/>
        </w:rPr>
        <w:tab/>
        <w:t>N CDs therein</w:t>
      </w:r>
      <w:r>
        <w:rPr>
          <w:b/>
        </w:rPr>
        <w:tab/>
      </w:r>
      <w:r>
        <w:rPr>
          <w:b/>
        </w:rPr>
        <w:tab/>
        <w:t>N states</w:t>
      </w:r>
      <w:r>
        <w:rPr>
          <w:b/>
        </w:rPr>
        <w:tab/>
        <w:t>N CDs therein</w:t>
      </w:r>
    </w:p>
    <w:p w:rsidR="000600E1" w:rsidRDefault="000600E1" w:rsidP="000600E1">
      <w:pPr>
        <w:spacing w:after="0" w:line="240" w:lineRule="auto"/>
        <w:rPr>
          <w:b/>
        </w:rPr>
      </w:pPr>
    </w:p>
    <w:p w:rsidR="000600E1" w:rsidRDefault="000600E1" w:rsidP="000600E1">
      <w:pPr>
        <w:spacing w:after="0" w:line="240" w:lineRule="auto"/>
        <w:rPr>
          <w:b/>
        </w:rPr>
      </w:pPr>
      <w:r>
        <w:rPr>
          <w:b/>
        </w:rPr>
        <w:t>1970 census</w:t>
      </w:r>
      <w:r>
        <w:rPr>
          <w:b/>
        </w:rPr>
        <w:tab/>
      </w:r>
      <w:r>
        <w:rPr>
          <w:b/>
        </w:rPr>
        <w:tab/>
        <w:t xml:space="preserve"> 16</w:t>
      </w:r>
      <w:r>
        <w:rPr>
          <w:b/>
        </w:rPr>
        <w:tab/>
      </w:r>
      <w:r>
        <w:rPr>
          <w:b/>
        </w:rPr>
        <w:tab/>
        <w:t xml:space="preserve">  145</w:t>
      </w:r>
      <w:r>
        <w:rPr>
          <w:b/>
        </w:rPr>
        <w:tab/>
      </w:r>
      <w:r>
        <w:rPr>
          <w:b/>
        </w:rPr>
        <w:tab/>
      </w:r>
      <w:r>
        <w:rPr>
          <w:b/>
        </w:rPr>
        <w:tab/>
        <w:t xml:space="preserve">  7</w:t>
      </w:r>
      <w:r>
        <w:rPr>
          <w:b/>
        </w:rPr>
        <w:tab/>
      </w:r>
      <w:r>
        <w:rPr>
          <w:b/>
        </w:rPr>
        <w:tab/>
        <w:t xml:space="preserve">  91</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1980 census </w:t>
      </w:r>
      <w:r>
        <w:rPr>
          <w:b/>
        </w:rPr>
        <w:tab/>
        <w:t xml:space="preserve">  </w:t>
      </w:r>
      <w:r>
        <w:rPr>
          <w:b/>
        </w:rPr>
        <w:tab/>
        <w:t xml:space="preserve"> 20</w:t>
      </w:r>
      <w:r>
        <w:rPr>
          <w:b/>
        </w:rPr>
        <w:tab/>
      </w:r>
      <w:r>
        <w:rPr>
          <w:b/>
        </w:rPr>
        <w:tab/>
        <w:t xml:space="preserve">  205</w:t>
      </w:r>
      <w:r>
        <w:rPr>
          <w:b/>
        </w:rPr>
        <w:tab/>
      </w:r>
      <w:r>
        <w:rPr>
          <w:b/>
        </w:rPr>
        <w:tab/>
      </w:r>
      <w:r>
        <w:rPr>
          <w:b/>
        </w:rPr>
        <w:tab/>
        <w:t xml:space="preserve">  4</w:t>
      </w:r>
      <w:r>
        <w:rPr>
          <w:b/>
        </w:rPr>
        <w:tab/>
      </w:r>
      <w:r>
        <w:rPr>
          <w:b/>
        </w:rPr>
        <w:tab/>
        <w:t xml:space="preserve">  47</w:t>
      </w:r>
    </w:p>
    <w:p w:rsidR="000600E1" w:rsidRDefault="000600E1" w:rsidP="000600E1">
      <w:pPr>
        <w:spacing w:after="0" w:line="240" w:lineRule="auto"/>
        <w:rPr>
          <w:b/>
        </w:rPr>
      </w:pPr>
    </w:p>
    <w:p w:rsidR="000600E1" w:rsidRDefault="000600E1" w:rsidP="000600E1">
      <w:pPr>
        <w:spacing w:after="0" w:line="240" w:lineRule="auto"/>
        <w:rPr>
          <w:b/>
        </w:rPr>
      </w:pPr>
      <w:r>
        <w:rPr>
          <w:b/>
        </w:rPr>
        <w:t>1990 census</w:t>
      </w:r>
      <w:r>
        <w:rPr>
          <w:b/>
        </w:rPr>
        <w:tab/>
      </w:r>
      <w:r>
        <w:rPr>
          <w:b/>
        </w:rPr>
        <w:tab/>
        <w:t xml:space="preserve"> 19</w:t>
      </w:r>
      <w:r>
        <w:rPr>
          <w:b/>
        </w:rPr>
        <w:tab/>
      </w:r>
      <w:r>
        <w:rPr>
          <w:b/>
        </w:rPr>
        <w:tab/>
        <w:t xml:space="preserve">  162</w:t>
      </w:r>
      <w:r>
        <w:rPr>
          <w:b/>
        </w:rPr>
        <w:tab/>
      </w:r>
      <w:r>
        <w:rPr>
          <w:b/>
        </w:rPr>
        <w:tab/>
      </w:r>
      <w:r>
        <w:rPr>
          <w:b/>
        </w:rPr>
        <w:tab/>
        <w:t xml:space="preserve">  2</w:t>
      </w:r>
      <w:r>
        <w:rPr>
          <w:b/>
        </w:rPr>
        <w:tab/>
      </w:r>
      <w:r>
        <w:rPr>
          <w:b/>
        </w:rPr>
        <w:tab/>
        <w:t xml:space="preserve">   5</w:t>
      </w:r>
    </w:p>
    <w:p w:rsidR="000600E1" w:rsidRDefault="000600E1" w:rsidP="000600E1">
      <w:pPr>
        <w:spacing w:after="0" w:line="240" w:lineRule="auto"/>
        <w:rPr>
          <w:b/>
        </w:rPr>
      </w:pPr>
    </w:p>
    <w:p w:rsidR="000600E1" w:rsidRDefault="000600E1" w:rsidP="000600E1">
      <w:pPr>
        <w:spacing w:after="0" w:line="240" w:lineRule="auto"/>
        <w:rPr>
          <w:b/>
        </w:rPr>
      </w:pPr>
      <w:r>
        <w:rPr>
          <w:b/>
        </w:rPr>
        <w:t>2000 census</w:t>
      </w:r>
      <w:r>
        <w:rPr>
          <w:b/>
        </w:rPr>
        <w:tab/>
      </w:r>
      <w:r>
        <w:rPr>
          <w:b/>
        </w:rPr>
        <w:tab/>
        <w:t xml:space="preserve"> 12</w:t>
      </w:r>
      <w:r>
        <w:rPr>
          <w:b/>
        </w:rPr>
        <w:tab/>
      </w:r>
      <w:r>
        <w:rPr>
          <w:b/>
        </w:rPr>
        <w:tab/>
        <w:t xml:space="preserve">  125</w:t>
      </w:r>
      <w:r>
        <w:rPr>
          <w:b/>
        </w:rPr>
        <w:tab/>
      </w:r>
      <w:r>
        <w:rPr>
          <w:b/>
        </w:rPr>
        <w:tab/>
      </w:r>
      <w:r>
        <w:rPr>
          <w:b/>
        </w:rPr>
        <w:tab/>
        <w:t xml:space="preserve">  9</w:t>
      </w:r>
      <w:r>
        <w:rPr>
          <w:b/>
        </w:rPr>
        <w:tab/>
      </w:r>
      <w:r>
        <w:rPr>
          <w:b/>
        </w:rPr>
        <w:tab/>
        <w:t xml:space="preserve"> 110  </w:t>
      </w:r>
    </w:p>
    <w:p w:rsidR="000600E1" w:rsidRDefault="000600E1" w:rsidP="000600E1">
      <w:pPr>
        <w:spacing w:after="0" w:line="240" w:lineRule="auto"/>
        <w:rPr>
          <w:b/>
        </w:rPr>
      </w:pPr>
    </w:p>
    <w:p w:rsidR="000600E1" w:rsidRDefault="000600E1" w:rsidP="000600E1">
      <w:pPr>
        <w:spacing w:after="0" w:line="240" w:lineRule="auto"/>
        <w:rPr>
          <w:b/>
        </w:rPr>
      </w:pPr>
      <w:r>
        <w:rPr>
          <w:b/>
        </w:rPr>
        <w:t>2010 census</w:t>
      </w:r>
      <w:r>
        <w:rPr>
          <w:b/>
        </w:rPr>
        <w:tab/>
      </w:r>
      <w:r>
        <w:rPr>
          <w:b/>
        </w:rPr>
        <w:tab/>
        <w:t xml:space="preserve"> 10</w:t>
      </w:r>
      <w:r>
        <w:rPr>
          <w:b/>
        </w:rPr>
        <w:tab/>
      </w:r>
      <w:r>
        <w:rPr>
          <w:b/>
        </w:rPr>
        <w:tab/>
        <w:t xml:space="preserve">  114</w:t>
      </w:r>
      <w:r>
        <w:rPr>
          <w:b/>
        </w:rPr>
        <w:tab/>
      </w:r>
      <w:r>
        <w:rPr>
          <w:b/>
        </w:rPr>
        <w:tab/>
      </w:r>
      <w:r>
        <w:rPr>
          <w:b/>
        </w:rPr>
        <w:tab/>
        <w:t xml:space="preserve"> 20</w:t>
      </w:r>
      <w:r>
        <w:rPr>
          <w:b/>
        </w:rPr>
        <w:tab/>
      </w:r>
      <w:r>
        <w:rPr>
          <w:b/>
        </w:rPr>
        <w:tab/>
        <w:t xml:space="preserve"> 217 </w:t>
      </w:r>
      <w:r>
        <w:rPr>
          <w:b/>
        </w:rPr>
        <w:tab/>
      </w:r>
    </w:p>
    <w:p w:rsidR="000600E1" w:rsidRDefault="000600E1" w:rsidP="000600E1"/>
    <w:p w:rsidR="000600E1" w:rsidRDefault="000600E1" w:rsidP="000600E1">
      <w:pPr>
        <w:spacing w:after="0" w:line="240" w:lineRule="auto"/>
        <w:rPr>
          <w:b/>
        </w:rPr>
      </w:pPr>
      <w:r>
        <w:rPr>
          <w:b/>
        </w:rPr>
        <w:t xml:space="preserve">Here are the lists of states along with their CD totals:  </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D-controlled 1970+ - AL 7, AR 4, FL 15, GA 10, HI 2, LA 8, MD 8, MS 5, MO 10, NM 2, NC 11, OK 6, </w:t>
      </w:r>
    </w:p>
    <w:p w:rsidR="000600E1" w:rsidRDefault="000600E1" w:rsidP="000600E1">
      <w:pPr>
        <w:spacing w:after="0" w:line="240" w:lineRule="auto"/>
        <w:rPr>
          <w:b/>
        </w:rPr>
      </w:pPr>
      <w:r>
        <w:rPr>
          <w:b/>
        </w:rPr>
        <w:tab/>
        <w:t xml:space="preserve">PA 25, RI 2, SC 6, TX 24  </w:t>
      </w:r>
    </w:p>
    <w:p w:rsidR="000600E1" w:rsidRDefault="000600E1" w:rsidP="000600E1">
      <w:pPr>
        <w:spacing w:after="0" w:line="240" w:lineRule="auto"/>
        <w:rPr>
          <w:b/>
        </w:rPr>
      </w:pPr>
      <w:r>
        <w:rPr>
          <w:b/>
        </w:rPr>
        <w:t xml:space="preserve">R-controlled  1970+ - AZ 4, CO 5, IL 24, IN 11, IA 6, NH 2, NY 39   </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D-controlled 1980+ – AL 7, AR 4, CA 45, CT 6, FL 19, GA 10, HI 2, KY 7, LA 8, MD 8, MA 11, MS 5, NJ 14,   </w:t>
      </w:r>
    </w:p>
    <w:p w:rsidR="000600E1" w:rsidRDefault="000600E1" w:rsidP="000600E1">
      <w:pPr>
        <w:spacing w:after="0" w:line="240" w:lineRule="auto"/>
        <w:ind w:firstLine="720"/>
        <w:rPr>
          <w:b/>
        </w:rPr>
      </w:pPr>
      <w:r>
        <w:rPr>
          <w:b/>
        </w:rPr>
        <w:t xml:space="preserve">NM 3, NC 11, OK 6, RI 2, SC 6, TX27, WV 4  </w:t>
      </w:r>
    </w:p>
    <w:p w:rsidR="000600E1" w:rsidRDefault="000600E1" w:rsidP="000600E1">
      <w:pPr>
        <w:spacing w:after="0" w:line="240" w:lineRule="auto"/>
        <w:rPr>
          <w:b/>
        </w:rPr>
      </w:pPr>
      <w:r>
        <w:rPr>
          <w:b/>
        </w:rPr>
        <w:t xml:space="preserve">R-controlled 1980+ – IN 10, IA 6, PA 23, WA 8    </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D-controlled 1990+ – AL7, AR 4, FL 23, GA 11, HI 2, KY 6, MD 8, MS 5, NV 2, NJ 13, NM 3, NC12, OK 6, </w:t>
      </w:r>
    </w:p>
    <w:p w:rsidR="000600E1" w:rsidRDefault="000600E1" w:rsidP="000600E1">
      <w:pPr>
        <w:spacing w:after="0" w:line="240" w:lineRule="auto"/>
        <w:rPr>
          <w:b/>
        </w:rPr>
      </w:pPr>
      <w:r>
        <w:rPr>
          <w:b/>
        </w:rPr>
        <w:t xml:space="preserve">             OR 5, RI 2, TN 9, TX 30, VA 11, WV 3  </w:t>
      </w:r>
    </w:p>
    <w:p w:rsidR="000600E1" w:rsidRDefault="000600E1" w:rsidP="000600E1">
      <w:pPr>
        <w:spacing w:after="0" w:line="240" w:lineRule="auto"/>
        <w:rPr>
          <w:b/>
        </w:rPr>
      </w:pPr>
      <w:r>
        <w:rPr>
          <w:b/>
        </w:rPr>
        <w:t xml:space="preserve">R-controlled 1990+ – NH 2, UT 3   </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D-controlled 2000+ -  AL 7, AR4, CA 53, GA 13, HI 2, KY 6, MD 8, MA10, MS 4, NC 13, RI2, WV 3  </w:t>
      </w:r>
    </w:p>
    <w:p w:rsidR="000600E1" w:rsidRDefault="000600E1" w:rsidP="000600E1">
      <w:pPr>
        <w:spacing w:after="0" w:line="240" w:lineRule="auto"/>
        <w:rPr>
          <w:b/>
        </w:rPr>
      </w:pPr>
      <w:r>
        <w:rPr>
          <w:b/>
        </w:rPr>
        <w:t xml:space="preserve">R-controlled 2000+ -  FL 25, ID 2, KS 4, MI 15, NJ 13, OH 18, PA 19, UT 3, VA 11   </w:t>
      </w:r>
    </w:p>
    <w:p w:rsidR="000600E1" w:rsidRDefault="000600E1" w:rsidP="000600E1">
      <w:pPr>
        <w:spacing w:after="0" w:line="240" w:lineRule="auto"/>
        <w:rPr>
          <w:b/>
        </w:rPr>
      </w:pPr>
    </w:p>
    <w:p w:rsidR="000600E1" w:rsidRDefault="000600E1" w:rsidP="000600E1">
      <w:pPr>
        <w:spacing w:after="0" w:line="240" w:lineRule="auto"/>
        <w:rPr>
          <w:b/>
        </w:rPr>
      </w:pPr>
      <w:r>
        <w:rPr>
          <w:b/>
        </w:rPr>
        <w:t xml:space="preserve">D-controlled 2010+ - AR 4, CA 53, CT 5, HI 2, IL 18, MD 8, MA 9, RI 2, WA 10, WV 3  </w:t>
      </w:r>
    </w:p>
    <w:p w:rsidR="000600E1" w:rsidRDefault="000600E1" w:rsidP="000600E1">
      <w:pPr>
        <w:spacing w:after="0" w:line="240" w:lineRule="auto"/>
        <w:rPr>
          <w:b/>
        </w:rPr>
      </w:pPr>
      <w:r>
        <w:rPr>
          <w:b/>
        </w:rPr>
        <w:t xml:space="preserve">R-controlled 2010+ - AL 7, AZ 9, FL 27, GA 14, ID 2, IN 9, KS 4, ME 2, MI 14, NH2, NC13, OH 16, OK 5,   </w:t>
      </w:r>
    </w:p>
    <w:p w:rsidR="000600E1" w:rsidRDefault="000600E1" w:rsidP="000600E1">
      <w:pPr>
        <w:spacing w:after="0" w:line="240" w:lineRule="auto"/>
        <w:ind w:firstLine="720"/>
        <w:rPr>
          <w:b/>
        </w:rPr>
      </w:pPr>
      <w:r>
        <w:rPr>
          <w:b/>
        </w:rPr>
        <w:t xml:space="preserve">PA18, SC 7, TN 9, TX 36, UT 4, VA 11, WI 8   </w:t>
      </w:r>
    </w:p>
    <w:p w:rsidR="000600E1" w:rsidRDefault="000600E1" w:rsidP="000600E1">
      <w:pPr>
        <w:spacing w:after="0" w:line="240" w:lineRule="auto"/>
        <w:rPr>
          <w:b/>
        </w:rPr>
      </w:pPr>
    </w:p>
    <w:p w:rsidR="000600E1" w:rsidRDefault="000600E1" w:rsidP="000600E1"/>
    <w:p w:rsidR="000600E1" w:rsidRDefault="000600E1" w:rsidP="00522BE8">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Appendix B:  Post-election recap 12/18/18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The Yale Workshop on Redistricting took place on November 2-3, 2018.  That means it missed the 2018 midterm election that took place just a week later.  Here is a post-election update of the paper’s data going into 2019-2020.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What is the outlook for the upcoming post-2020-Census round of redistricting?  To be sure, relevant elections will keep taking place in calendar 2019, 2020, and even possibly 2021, that will affect the politics of redistricting following the Census.  Many new relevant governors and state legislators have yet to be elected.  Also, packets of U.S. House seats will be reapportioned across the states.  But a lot of the situation is structured as of right now.  Of key importance, most states elect their governors for 4-year terms in national midterm years.  Thus, many governors to assume office in January 2019 will hang on through the redistricting cycle.  Also, path dependence will no doubt favor many current state legislators running again in November 2000.  As for the reapportionment of seats, that isn’t likely to make much difference to the parties’ new CD holdings—maybe on balance a very few seats to the GOP’s favor owing chiefly to ballooning population in Texas.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As in the logic of Appendix A, here are the figures for the single-party-control metric as of January 2019.  Ns of CDs per state are as of that time (that is, not the projections for 2002+).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ab/>
      </w:r>
      <w:r>
        <w:rPr>
          <w:b/>
          <w:sz w:val="24"/>
        </w:rPr>
        <w:tab/>
      </w:r>
      <w:r>
        <w:rPr>
          <w:b/>
          <w:sz w:val="24"/>
        </w:rPr>
        <w:tab/>
        <w:t>Democratic-controlled states</w:t>
      </w:r>
      <w:r>
        <w:rPr>
          <w:b/>
          <w:sz w:val="24"/>
        </w:rPr>
        <w:tab/>
        <w:t>Republican-controlled states</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ab/>
      </w:r>
      <w:r>
        <w:rPr>
          <w:b/>
          <w:sz w:val="24"/>
        </w:rPr>
        <w:tab/>
      </w:r>
      <w:r>
        <w:rPr>
          <w:b/>
          <w:sz w:val="24"/>
        </w:rPr>
        <w:tab/>
        <w:t>N states</w:t>
      </w:r>
      <w:r>
        <w:rPr>
          <w:b/>
          <w:sz w:val="24"/>
        </w:rPr>
        <w:tab/>
        <w:t>N CDs therein</w:t>
      </w:r>
      <w:r>
        <w:rPr>
          <w:b/>
          <w:sz w:val="24"/>
        </w:rPr>
        <w:tab/>
      </w:r>
      <w:r>
        <w:rPr>
          <w:b/>
          <w:sz w:val="24"/>
        </w:rPr>
        <w:tab/>
        <w:t>N states</w:t>
      </w:r>
      <w:r>
        <w:rPr>
          <w:b/>
          <w:sz w:val="24"/>
        </w:rPr>
        <w:tab/>
        <w:t xml:space="preserve">N CDs therein </w:t>
      </w:r>
    </w:p>
    <w:p w:rsidR="00853BEA" w:rsidRDefault="00853BEA" w:rsidP="00853BEA">
      <w:pPr>
        <w:spacing w:after="0" w:line="240" w:lineRule="auto"/>
        <w:rPr>
          <w:b/>
          <w:sz w:val="24"/>
        </w:rPr>
      </w:pPr>
      <w:r>
        <w:rPr>
          <w:b/>
          <w:sz w:val="24"/>
        </w:rPr>
        <w:tab/>
      </w:r>
    </w:p>
    <w:p w:rsidR="00853BEA" w:rsidRDefault="00853BEA" w:rsidP="00853BEA">
      <w:pPr>
        <w:spacing w:after="0" w:line="240" w:lineRule="auto"/>
        <w:rPr>
          <w:b/>
          <w:sz w:val="24"/>
        </w:rPr>
      </w:pPr>
      <w:r>
        <w:rPr>
          <w:b/>
          <w:sz w:val="24"/>
        </w:rPr>
        <w:t>January 2019</w:t>
      </w:r>
      <w:r>
        <w:rPr>
          <w:b/>
          <w:sz w:val="24"/>
        </w:rPr>
        <w:tab/>
      </w:r>
      <w:r>
        <w:rPr>
          <w:b/>
          <w:sz w:val="24"/>
        </w:rPr>
        <w:tab/>
        <w:t>15</w:t>
      </w:r>
      <w:r>
        <w:rPr>
          <w:b/>
          <w:sz w:val="24"/>
        </w:rPr>
        <w:tab/>
      </w:r>
      <w:r>
        <w:rPr>
          <w:b/>
          <w:sz w:val="24"/>
        </w:rPr>
        <w:tab/>
        <w:t>167</w:t>
      </w:r>
      <w:r>
        <w:rPr>
          <w:b/>
          <w:sz w:val="24"/>
        </w:rPr>
        <w:tab/>
      </w:r>
      <w:r>
        <w:rPr>
          <w:b/>
          <w:sz w:val="24"/>
        </w:rPr>
        <w:tab/>
      </w:r>
      <w:r>
        <w:rPr>
          <w:b/>
          <w:sz w:val="24"/>
        </w:rPr>
        <w:tab/>
        <w:t>20</w:t>
      </w:r>
      <w:r>
        <w:rPr>
          <w:b/>
          <w:sz w:val="24"/>
        </w:rPr>
        <w:tab/>
      </w:r>
      <w:r>
        <w:rPr>
          <w:b/>
          <w:sz w:val="24"/>
        </w:rPr>
        <w:tab/>
        <w:t>191</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D-controlled – CA53, CO7, CT5, HI2, IL18, ME2, MD8, MA9, NV4, NJ12, NM3, NY27, OR5, RI2, </w:t>
      </w:r>
    </w:p>
    <w:p w:rsidR="00853BEA" w:rsidRDefault="00853BEA" w:rsidP="00853BEA">
      <w:pPr>
        <w:spacing w:after="0" w:line="240" w:lineRule="auto"/>
        <w:rPr>
          <w:b/>
          <w:sz w:val="24"/>
        </w:rPr>
      </w:pPr>
      <w:r>
        <w:rPr>
          <w:b/>
          <w:sz w:val="24"/>
        </w:rPr>
        <w:tab/>
        <w:t xml:space="preserve">WA10  </w:t>
      </w:r>
    </w:p>
    <w:p w:rsidR="00853BEA" w:rsidRDefault="00853BEA" w:rsidP="00853BEA">
      <w:pPr>
        <w:spacing w:after="0" w:line="240" w:lineRule="auto"/>
        <w:rPr>
          <w:b/>
          <w:sz w:val="24"/>
        </w:rPr>
      </w:pPr>
      <w:r>
        <w:rPr>
          <w:b/>
          <w:sz w:val="24"/>
        </w:rPr>
        <w:t xml:space="preserve">R-controlled – AL7, AR4, AZ9, FL27, GA14, ID2, IN9, IA4, KS4, KY6, MS4, MO8, NC13, OH16, </w:t>
      </w:r>
    </w:p>
    <w:p w:rsidR="00853BEA" w:rsidRDefault="00853BEA" w:rsidP="00853BEA">
      <w:pPr>
        <w:spacing w:after="0" w:line="240" w:lineRule="auto"/>
        <w:rPr>
          <w:b/>
          <w:sz w:val="24"/>
        </w:rPr>
      </w:pPr>
      <w:r>
        <w:rPr>
          <w:b/>
          <w:sz w:val="24"/>
        </w:rPr>
        <w:tab/>
        <w:t xml:space="preserve">OK5, SC7, TN9, TX36, UT4, WV3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I hope I got all this right.  As the coding rules allow, NC is classified as GOP because its R legislature can dominate a veto-less D governor, and KS as GOP because its 2/3 R legislature can override a D governor.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Generally speaking, on the redistricting front, the Republicans survived the 2018 midterm pretty well.  Keeping the governorships of AZ, TX, FL, GA, OH, and IA helped.  Also, compared to the situation in 2011-12, the GOP will now control in single-party terms a surprising total of six states that it didn’t fully control back then—AR, IA, KY, MS, MO, WV, chiefly southern and border states.  Still, the Democrats did score major gains in the 2018 election.  Compared to their holdings going in, they won full control of NY, they captured the IL governorship, and </w:t>
      </w:r>
      <w:r>
        <w:rPr>
          <w:b/>
          <w:sz w:val="24"/>
        </w:rPr>
        <w:lastRenderedPageBreak/>
        <w:t xml:space="preserve">they won the governorships of MI and WI, thus switching those two rust-belt prizes (as with PA earlier in the 2014 midterm) out of the GOP column into the divided-government column.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Beyond all this, it is worth mentioning that voters seem to have erected new impediments to the chicanery of single party control, bipartisan commissions and such, in a number of additional states including apparently CO, MO, OH, and UT.</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All told, the Republicans as of January 2019 will thus enjoy a net 24-seat edge (191 minus 167) in the single-party-control metric, compared with their 103-seat edge (217 minus 114) in the wake of the 2011-12 redraw that heralded the current decade.  It is well to keep this GOP 24-seat edge in perspective.  It pans out as 6% of the total House membership.   That’s all.  Once practical reality enters in—that is, once the various non-pathways to partisan gerrymandering line up—the glitches, the legislative deadlocks, the commissions, the inventive legal constraints (as now in Missouri?), the armies of lawyers, the intrusive judges, the alarmed media, not to mention just plain abstention from edginess by the parties—this formal 6% GOP edge in the arithmetic must be worth pretty close to zero.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An afterthought.  My focus in this paper is the formally </w:t>
      </w:r>
      <w:r>
        <w:rPr>
          <w:b/>
          <w:sz w:val="24"/>
          <w:u w:val="single"/>
        </w:rPr>
        <w:t>necessary</w:t>
      </w:r>
      <w:r>
        <w:rPr>
          <w:b/>
          <w:sz w:val="24"/>
        </w:rPr>
        <w:t xml:space="preserve"> condition for partisan gerrymandering.  Among other things, I wanted to point out that that this condition is routinely </w:t>
      </w:r>
      <w:r>
        <w:rPr>
          <w:b/>
          <w:sz w:val="24"/>
          <w:u w:val="single"/>
        </w:rPr>
        <w:t>not met</w:t>
      </w:r>
      <w:r>
        <w:rPr>
          <w:b/>
          <w:sz w:val="24"/>
        </w:rPr>
        <w:t xml:space="preserve">.  A can’t-do-it condition of </w:t>
      </w:r>
      <w:r>
        <w:rPr>
          <w:b/>
          <w:sz w:val="24"/>
          <w:u w:val="single"/>
        </w:rPr>
        <w:t>divided</w:t>
      </w:r>
      <w:r>
        <w:rPr>
          <w:b/>
          <w:sz w:val="24"/>
        </w:rPr>
        <w:t xml:space="preserve"> party control has blanketed roughly half the CDs of the country at line-drawing time through the 2000s, albeit somewhat more than that in the 2010s.  It is important to see this limitation.  It is equally important to see that a </w:t>
      </w:r>
      <w:r>
        <w:rPr>
          <w:b/>
          <w:sz w:val="24"/>
          <w:u w:val="single"/>
        </w:rPr>
        <w:t>necessary</w:t>
      </w:r>
      <w:r>
        <w:rPr>
          <w:b/>
          <w:sz w:val="24"/>
        </w:rPr>
        <w:t xml:space="preserve"> condition runs far short of signifying a </w:t>
      </w:r>
      <w:r>
        <w:rPr>
          <w:b/>
          <w:sz w:val="24"/>
          <w:u w:val="single"/>
        </w:rPr>
        <w:t>sufficient</w:t>
      </w:r>
      <w:r>
        <w:rPr>
          <w:b/>
          <w:sz w:val="24"/>
        </w:rPr>
        <w:t xml:space="preserve"> condition.  It is an outer-boundary condition.  To find out what has actually happened, where and when and how, in the many redistricting contexts that have formally satisfied the single-party metric yet not actually given rise to partisan gerrymandering would be a back-breaking empirical task.  Spotty at best is the existent secondary literature on the topic across the five decades.     </w:t>
      </w:r>
    </w:p>
    <w:p w:rsidR="00853BEA" w:rsidRDefault="00853BEA" w:rsidP="00853BEA">
      <w:pPr>
        <w:spacing w:after="0" w:line="240" w:lineRule="auto"/>
        <w:rPr>
          <w:b/>
          <w:sz w:val="24"/>
        </w:rPr>
      </w:pPr>
    </w:p>
    <w:p w:rsidR="00853BEA" w:rsidRDefault="00853BEA" w:rsidP="00853BEA">
      <w:pPr>
        <w:spacing w:after="0" w:line="240" w:lineRule="auto"/>
        <w:rPr>
          <w:b/>
          <w:sz w:val="24"/>
        </w:rPr>
      </w:pPr>
      <w:r>
        <w:rPr>
          <w:b/>
          <w:sz w:val="24"/>
        </w:rPr>
        <w:t xml:space="preserve">Yet one comment is in order.  Readers of Figures 2 and 3 might have scratched their chins.  What’s going on with those Democratic edges in the single-party-control metric before calendar 2000—bonuses that were enormous in the 1980s and 1990s?  Is it the “solid South”?  Didn’t the Democrats have a lock on everything down there, thus rendering partisan gerrymandering gratuitous and unattempted?  Maybe the region’s Democrats had no cause to play with the matches.  So perhaps the single-party-control metric is irrelevant?  Well, not really.  For purposes here, I don’t see any reason to treat the South as if it existed on some other planet.  At the level of U.S. House districts, the South was in play.  From 1950 through 1990—that is, before the Republican explosion that hit the South in the 1994 midterm—some 65 southern CDs elected a Republican member of Congress at one time or another, including at least two in each of the eleven ex-Confederate states.  Yes, the Democrats did ordinarily control the South’s state governments, but they had plenty of GOP targets to aim at.  For example, they nearly wiped out Newt Gingrich after the 1990 Census.  In North Carolina and Virginia, partisan blood feuds over districting in the Appalachian area went back a century.  One analysis of redistricting after the 1970 Census hinges on “the seven states [anywhere in </w:t>
      </w:r>
      <w:r>
        <w:rPr>
          <w:b/>
          <w:sz w:val="24"/>
        </w:rPr>
        <w:lastRenderedPageBreak/>
        <w:t>the country] which gained or lost House seats in reapportionment and which passed partisan district plans.”  Three of the seven were in the South—Alabama, Florida, and Tennessee.</w:t>
      </w:r>
      <w:r>
        <w:rPr>
          <w:rStyle w:val="FootnoteReference"/>
          <w:b/>
          <w:sz w:val="24"/>
        </w:rPr>
        <w:footnoteReference w:id="3"/>
      </w:r>
      <w:r>
        <w:rPr>
          <w:b/>
          <w:sz w:val="24"/>
        </w:rPr>
        <w:t xml:space="preserve">  </w:t>
      </w: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853BEA" w:rsidRDefault="00853BEA" w:rsidP="00853BEA">
      <w:pPr>
        <w:spacing w:after="0" w:line="240" w:lineRule="auto"/>
        <w:rPr>
          <w:b/>
          <w:sz w:val="24"/>
        </w:rPr>
      </w:pPr>
    </w:p>
    <w:p w:rsidR="000600E1" w:rsidRPr="00522BE8" w:rsidRDefault="000600E1" w:rsidP="00522BE8">
      <w:pPr>
        <w:spacing w:after="0" w:line="240" w:lineRule="auto"/>
        <w:rPr>
          <w:b/>
          <w:sz w:val="24"/>
        </w:rPr>
      </w:pPr>
    </w:p>
    <w:sectPr w:rsidR="000600E1" w:rsidRPr="00522B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8F" w:rsidRDefault="005D3F8F" w:rsidP="00923CBA">
      <w:pPr>
        <w:spacing w:after="0" w:line="240" w:lineRule="auto"/>
      </w:pPr>
      <w:r>
        <w:separator/>
      </w:r>
    </w:p>
  </w:endnote>
  <w:endnote w:type="continuationSeparator" w:id="0">
    <w:p w:rsidR="005D3F8F" w:rsidRDefault="005D3F8F" w:rsidP="0092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9177"/>
      <w:docPartObj>
        <w:docPartGallery w:val="Page Numbers (Bottom of Page)"/>
        <w:docPartUnique/>
      </w:docPartObj>
    </w:sdtPr>
    <w:sdtEndPr>
      <w:rPr>
        <w:noProof/>
      </w:rPr>
    </w:sdtEndPr>
    <w:sdtContent>
      <w:p w:rsidR="00CC0751" w:rsidRDefault="00CC0751">
        <w:pPr>
          <w:pStyle w:val="Footer"/>
          <w:jc w:val="right"/>
        </w:pPr>
        <w:r>
          <w:fldChar w:fldCharType="begin"/>
        </w:r>
        <w:r>
          <w:instrText xml:space="preserve"> PAGE   \* MERGEFORMAT </w:instrText>
        </w:r>
        <w:r>
          <w:fldChar w:fldCharType="separate"/>
        </w:r>
        <w:r w:rsidR="00FD25C7">
          <w:rPr>
            <w:noProof/>
          </w:rPr>
          <w:t>1</w:t>
        </w:r>
        <w:r>
          <w:rPr>
            <w:noProof/>
          </w:rPr>
          <w:fldChar w:fldCharType="end"/>
        </w:r>
      </w:p>
    </w:sdtContent>
  </w:sdt>
  <w:p w:rsidR="00CC0751" w:rsidRDefault="00CC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8F" w:rsidRDefault="005D3F8F" w:rsidP="00923CBA">
      <w:pPr>
        <w:spacing w:after="0" w:line="240" w:lineRule="auto"/>
      </w:pPr>
      <w:r>
        <w:separator/>
      </w:r>
    </w:p>
  </w:footnote>
  <w:footnote w:type="continuationSeparator" w:id="0">
    <w:p w:rsidR="005D3F8F" w:rsidRDefault="005D3F8F" w:rsidP="00923CBA">
      <w:pPr>
        <w:spacing w:after="0" w:line="240" w:lineRule="auto"/>
      </w:pPr>
      <w:r>
        <w:continuationSeparator/>
      </w:r>
    </w:p>
  </w:footnote>
  <w:footnote w:id="1">
    <w:p w:rsidR="00FA5F3D" w:rsidRPr="00923CBA" w:rsidRDefault="00FA5F3D" w:rsidP="00FA5F3D">
      <w:pPr>
        <w:pStyle w:val="FootnoteText"/>
      </w:pPr>
      <w:r>
        <w:rPr>
          <w:rStyle w:val="FootnoteReference"/>
        </w:rPr>
        <w:footnoteRef/>
      </w:r>
      <w:r>
        <w:t xml:space="preserve"> Sources on the party-control patterns:  On 1970+, Richard G. Niemi and Laura R. Winsky, “The Persistence of Partisan Redistricting Effects in Congressional Elections in the 1970s,” </w:t>
      </w:r>
      <w:r>
        <w:rPr>
          <w:u w:val="single"/>
        </w:rPr>
        <w:t>Journal of Politics</w:t>
      </w:r>
      <w:r>
        <w:t xml:space="preserve"> 54:2 (May 1992), 565-72, chart at 568.  On 1980+, Andrew W. Robertson, “American Redistricting in the 1980s:  The Effect on the Mid-Term Elections,” </w:t>
      </w:r>
      <w:r>
        <w:rPr>
          <w:u w:val="single"/>
        </w:rPr>
        <w:t>Electoral Studies</w:t>
      </w:r>
      <w:r>
        <w:t xml:space="preserve"> 2:2 (1983), 113-19, chart at 121.  On 1990+ and 2000+, </w:t>
      </w:r>
      <w:r>
        <w:rPr>
          <w:u w:val="single"/>
        </w:rPr>
        <w:t>FairVote Archives</w:t>
      </w:r>
      <w:r>
        <w:t xml:space="preserve">, online.  On 2011+, chiefly Michael Barone and Chuck McCutcheon, </w:t>
      </w:r>
      <w:r>
        <w:rPr>
          <w:u w:val="single"/>
        </w:rPr>
        <w:t>The Almanac of American Politics 2014</w:t>
      </w:r>
      <w:r>
        <w:t xml:space="preserve"> (Chicago:  University of Chicago Press, 2013).  Otherwise, scattered internet sources for occasional fugitive data.  </w:t>
      </w:r>
    </w:p>
  </w:footnote>
  <w:footnote w:id="2">
    <w:p w:rsidR="006D49CE" w:rsidRDefault="006D49CE">
      <w:pPr>
        <w:pStyle w:val="FootnoteText"/>
      </w:pPr>
      <w:r>
        <w:rPr>
          <w:rStyle w:val="FootnoteReference"/>
        </w:rPr>
        <w:footnoteRef/>
      </w:r>
      <w:r>
        <w:t xml:space="preserve"> </w:t>
      </w:r>
      <w:r w:rsidR="00CF4C89">
        <w:t>T</w:t>
      </w:r>
      <w:r>
        <w:t xml:space="preserve">his particular calculation </w:t>
      </w:r>
      <w:r w:rsidR="00CF4C89">
        <w:t xml:space="preserve">hinges on the </w:t>
      </w:r>
      <w:r>
        <w:rPr>
          <w:u w:val="single"/>
        </w:rPr>
        <w:t>first</w:t>
      </w:r>
      <w:r>
        <w:t xml:space="preserve"> instance of any seat’s partisan turnover</w:t>
      </w:r>
      <w:r w:rsidR="00CF4C89">
        <w:t xml:space="preserve"> post-X2 during a decade. That is, I ignore </w:t>
      </w:r>
      <w:r w:rsidR="00604EBF">
        <w:t xml:space="preserve">here </w:t>
      </w:r>
      <w:r w:rsidR="00CF4C89">
        <w:t xml:space="preserve">any subsequent change in a seat’s party outcome.  </w:t>
      </w:r>
      <w:r w:rsidR="004D582D">
        <w:t xml:space="preserve">I regret that this open-seats analysis needs a tune-up. I have ignored the rat-a-tat of off-calendar special elections to vacated House seats. Those are not all that many, and I doubt that </w:t>
      </w:r>
      <w:r w:rsidR="001C2C87">
        <w:t>including them</w:t>
      </w:r>
      <w:r w:rsidR="004D582D">
        <w:t xml:space="preserve"> would affect the results much, but they should be accommodated.</w:t>
      </w:r>
      <w:r w:rsidR="00CF4C89">
        <w:t xml:space="preserve">  </w:t>
      </w:r>
      <w:r>
        <w:t xml:space="preserve">  </w:t>
      </w: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Default="000600E1">
      <w:pPr>
        <w:pStyle w:val="FootnoteText"/>
      </w:pPr>
    </w:p>
    <w:p w:rsidR="000600E1" w:rsidRPr="006D49CE" w:rsidRDefault="000600E1">
      <w:pPr>
        <w:pStyle w:val="FootnoteText"/>
      </w:pPr>
    </w:p>
  </w:footnote>
  <w:footnote w:id="3">
    <w:p w:rsidR="00853BEA" w:rsidRPr="00AB714C" w:rsidRDefault="00853BEA" w:rsidP="00853BEA">
      <w:pPr>
        <w:pStyle w:val="FootnoteText"/>
      </w:pPr>
      <w:r>
        <w:rPr>
          <w:rStyle w:val="FootnoteReference"/>
        </w:rPr>
        <w:footnoteRef/>
      </w:r>
      <w:r>
        <w:t xml:space="preserve"> Peverill Squire, “Results of Partisan Districting in Seven U.S. States during the 1970s,” </w:t>
      </w:r>
      <w:r>
        <w:rPr>
          <w:u w:val="single"/>
        </w:rPr>
        <w:t>Legislative Studies Quarterly</w:t>
      </w:r>
      <w:r>
        <w:t xml:space="preserve"> 10:2 (May 1985), 259-66, quotation at 259.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90"/>
    <w:rsid w:val="00000DD6"/>
    <w:rsid w:val="00007E32"/>
    <w:rsid w:val="000421C7"/>
    <w:rsid w:val="00051DB5"/>
    <w:rsid w:val="00056757"/>
    <w:rsid w:val="000600E1"/>
    <w:rsid w:val="00064521"/>
    <w:rsid w:val="0007621A"/>
    <w:rsid w:val="00087FAA"/>
    <w:rsid w:val="000A1723"/>
    <w:rsid w:val="000B4F29"/>
    <w:rsid w:val="000C4796"/>
    <w:rsid w:val="000E7981"/>
    <w:rsid w:val="0013149C"/>
    <w:rsid w:val="001440C9"/>
    <w:rsid w:val="00152679"/>
    <w:rsid w:val="00155D7F"/>
    <w:rsid w:val="00172A4F"/>
    <w:rsid w:val="001A28DF"/>
    <w:rsid w:val="001A492C"/>
    <w:rsid w:val="001B7438"/>
    <w:rsid w:val="001C2C87"/>
    <w:rsid w:val="001E45AB"/>
    <w:rsid w:val="001E5049"/>
    <w:rsid w:val="001E6FCD"/>
    <w:rsid w:val="00223FCE"/>
    <w:rsid w:val="00237E43"/>
    <w:rsid w:val="00275538"/>
    <w:rsid w:val="00280BE7"/>
    <w:rsid w:val="00281B79"/>
    <w:rsid w:val="002A18AC"/>
    <w:rsid w:val="002C033E"/>
    <w:rsid w:val="002C1B10"/>
    <w:rsid w:val="002D29BC"/>
    <w:rsid w:val="002E165B"/>
    <w:rsid w:val="002E52A5"/>
    <w:rsid w:val="002F5E15"/>
    <w:rsid w:val="00311612"/>
    <w:rsid w:val="00316C77"/>
    <w:rsid w:val="00320059"/>
    <w:rsid w:val="0034231F"/>
    <w:rsid w:val="00357D6E"/>
    <w:rsid w:val="003701BD"/>
    <w:rsid w:val="003A3A65"/>
    <w:rsid w:val="003A4901"/>
    <w:rsid w:val="003B7837"/>
    <w:rsid w:val="003C2752"/>
    <w:rsid w:val="003D1543"/>
    <w:rsid w:val="003E27CB"/>
    <w:rsid w:val="003E643C"/>
    <w:rsid w:val="00412B06"/>
    <w:rsid w:val="004343EF"/>
    <w:rsid w:val="00434DF7"/>
    <w:rsid w:val="004372F2"/>
    <w:rsid w:val="00446D1C"/>
    <w:rsid w:val="004568E6"/>
    <w:rsid w:val="00461960"/>
    <w:rsid w:val="004725CB"/>
    <w:rsid w:val="00473BC0"/>
    <w:rsid w:val="00492CCE"/>
    <w:rsid w:val="00494419"/>
    <w:rsid w:val="004A22F1"/>
    <w:rsid w:val="004B08F3"/>
    <w:rsid w:val="004B674E"/>
    <w:rsid w:val="004B7EAE"/>
    <w:rsid w:val="004C4A92"/>
    <w:rsid w:val="004D582D"/>
    <w:rsid w:val="004F30F6"/>
    <w:rsid w:val="004F725A"/>
    <w:rsid w:val="00515A48"/>
    <w:rsid w:val="00522BE8"/>
    <w:rsid w:val="0052554B"/>
    <w:rsid w:val="0055537D"/>
    <w:rsid w:val="005650ED"/>
    <w:rsid w:val="0059003F"/>
    <w:rsid w:val="00597520"/>
    <w:rsid w:val="005B55E8"/>
    <w:rsid w:val="005D3F8F"/>
    <w:rsid w:val="005D5865"/>
    <w:rsid w:val="005E4006"/>
    <w:rsid w:val="005F3413"/>
    <w:rsid w:val="00603A30"/>
    <w:rsid w:val="00604EBF"/>
    <w:rsid w:val="0060758F"/>
    <w:rsid w:val="00612924"/>
    <w:rsid w:val="0061610E"/>
    <w:rsid w:val="006217F8"/>
    <w:rsid w:val="00670D1B"/>
    <w:rsid w:val="00680612"/>
    <w:rsid w:val="0068424E"/>
    <w:rsid w:val="00696FC0"/>
    <w:rsid w:val="006A6AD0"/>
    <w:rsid w:val="006C6D07"/>
    <w:rsid w:val="006D3185"/>
    <w:rsid w:val="006D49CE"/>
    <w:rsid w:val="00707A07"/>
    <w:rsid w:val="00710DED"/>
    <w:rsid w:val="00716BA4"/>
    <w:rsid w:val="0073277C"/>
    <w:rsid w:val="0073286F"/>
    <w:rsid w:val="0075384D"/>
    <w:rsid w:val="00754975"/>
    <w:rsid w:val="007A5A9B"/>
    <w:rsid w:val="007C0748"/>
    <w:rsid w:val="007C1865"/>
    <w:rsid w:val="007D7559"/>
    <w:rsid w:val="007E0C86"/>
    <w:rsid w:val="007F05B5"/>
    <w:rsid w:val="00801F44"/>
    <w:rsid w:val="00807FD3"/>
    <w:rsid w:val="00813B42"/>
    <w:rsid w:val="00830452"/>
    <w:rsid w:val="0083408D"/>
    <w:rsid w:val="008438DA"/>
    <w:rsid w:val="00853BEA"/>
    <w:rsid w:val="0086416D"/>
    <w:rsid w:val="008B09B3"/>
    <w:rsid w:val="008B0D20"/>
    <w:rsid w:val="008C7A6C"/>
    <w:rsid w:val="00907CA1"/>
    <w:rsid w:val="00923CBA"/>
    <w:rsid w:val="00943C47"/>
    <w:rsid w:val="00944C83"/>
    <w:rsid w:val="009504DC"/>
    <w:rsid w:val="00957B28"/>
    <w:rsid w:val="00960596"/>
    <w:rsid w:val="00963EF8"/>
    <w:rsid w:val="00971F34"/>
    <w:rsid w:val="009743AB"/>
    <w:rsid w:val="00997D01"/>
    <w:rsid w:val="009A6445"/>
    <w:rsid w:val="009F23BE"/>
    <w:rsid w:val="00A01FD6"/>
    <w:rsid w:val="00A024FB"/>
    <w:rsid w:val="00A177E2"/>
    <w:rsid w:val="00A17AC7"/>
    <w:rsid w:val="00A3013A"/>
    <w:rsid w:val="00A40C3E"/>
    <w:rsid w:val="00A45B99"/>
    <w:rsid w:val="00A556FE"/>
    <w:rsid w:val="00A601E3"/>
    <w:rsid w:val="00A627C2"/>
    <w:rsid w:val="00A906C4"/>
    <w:rsid w:val="00AA1E68"/>
    <w:rsid w:val="00AE24CE"/>
    <w:rsid w:val="00AE3CDF"/>
    <w:rsid w:val="00AF3729"/>
    <w:rsid w:val="00AF7EA3"/>
    <w:rsid w:val="00B051EE"/>
    <w:rsid w:val="00B31301"/>
    <w:rsid w:val="00B42FF7"/>
    <w:rsid w:val="00B63C81"/>
    <w:rsid w:val="00B72463"/>
    <w:rsid w:val="00B855CB"/>
    <w:rsid w:val="00B86EB2"/>
    <w:rsid w:val="00B96B65"/>
    <w:rsid w:val="00BC2360"/>
    <w:rsid w:val="00BC77A7"/>
    <w:rsid w:val="00BD7EE1"/>
    <w:rsid w:val="00BE437A"/>
    <w:rsid w:val="00BF66B7"/>
    <w:rsid w:val="00C00F7E"/>
    <w:rsid w:val="00C2458A"/>
    <w:rsid w:val="00C31FEB"/>
    <w:rsid w:val="00C32A12"/>
    <w:rsid w:val="00C35E67"/>
    <w:rsid w:val="00C55AAE"/>
    <w:rsid w:val="00C629D0"/>
    <w:rsid w:val="00C67B2D"/>
    <w:rsid w:val="00C91C21"/>
    <w:rsid w:val="00C92868"/>
    <w:rsid w:val="00CA02B5"/>
    <w:rsid w:val="00CC0751"/>
    <w:rsid w:val="00CC227C"/>
    <w:rsid w:val="00CD40E6"/>
    <w:rsid w:val="00CD4B68"/>
    <w:rsid w:val="00CE354F"/>
    <w:rsid w:val="00CF4C89"/>
    <w:rsid w:val="00D010FB"/>
    <w:rsid w:val="00D03068"/>
    <w:rsid w:val="00D05431"/>
    <w:rsid w:val="00D06960"/>
    <w:rsid w:val="00D10E4E"/>
    <w:rsid w:val="00D123F9"/>
    <w:rsid w:val="00D31617"/>
    <w:rsid w:val="00D33A58"/>
    <w:rsid w:val="00D86F4C"/>
    <w:rsid w:val="00D919B8"/>
    <w:rsid w:val="00DC7F11"/>
    <w:rsid w:val="00DD7A31"/>
    <w:rsid w:val="00DE737D"/>
    <w:rsid w:val="00DF7919"/>
    <w:rsid w:val="00E006A6"/>
    <w:rsid w:val="00E0364F"/>
    <w:rsid w:val="00E1259A"/>
    <w:rsid w:val="00E1596E"/>
    <w:rsid w:val="00E3096E"/>
    <w:rsid w:val="00E41EF2"/>
    <w:rsid w:val="00E42116"/>
    <w:rsid w:val="00E75B3B"/>
    <w:rsid w:val="00E808DB"/>
    <w:rsid w:val="00E9404E"/>
    <w:rsid w:val="00EB5250"/>
    <w:rsid w:val="00EC3888"/>
    <w:rsid w:val="00EE3709"/>
    <w:rsid w:val="00EF1998"/>
    <w:rsid w:val="00F06FAF"/>
    <w:rsid w:val="00F44B8A"/>
    <w:rsid w:val="00F5083F"/>
    <w:rsid w:val="00F71A28"/>
    <w:rsid w:val="00F720EA"/>
    <w:rsid w:val="00F74FA6"/>
    <w:rsid w:val="00F77654"/>
    <w:rsid w:val="00FA4490"/>
    <w:rsid w:val="00FA5F3D"/>
    <w:rsid w:val="00FD25C7"/>
    <w:rsid w:val="00FE2A6D"/>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D2D26-B536-4425-91B9-66123150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23C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3CBA"/>
    <w:rPr>
      <w:sz w:val="20"/>
      <w:szCs w:val="20"/>
    </w:rPr>
  </w:style>
  <w:style w:type="character" w:styleId="EndnoteReference">
    <w:name w:val="endnote reference"/>
    <w:basedOn w:val="DefaultParagraphFont"/>
    <w:uiPriority w:val="99"/>
    <w:semiHidden/>
    <w:unhideWhenUsed/>
    <w:rsid w:val="00923CBA"/>
    <w:rPr>
      <w:vertAlign w:val="superscript"/>
    </w:rPr>
  </w:style>
  <w:style w:type="paragraph" w:styleId="FootnoteText">
    <w:name w:val="footnote text"/>
    <w:basedOn w:val="Normal"/>
    <w:link w:val="FootnoteTextChar"/>
    <w:uiPriority w:val="99"/>
    <w:semiHidden/>
    <w:unhideWhenUsed/>
    <w:rsid w:val="00923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BA"/>
    <w:rPr>
      <w:sz w:val="20"/>
      <w:szCs w:val="20"/>
    </w:rPr>
  </w:style>
  <w:style w:type="character" w:styleId="FootnoteReference">
    <w:name w:val="footnote reference"/>
    <w:basedOn w:val="DefaultParagraphFont"/>
    <w:uiPriority w:val="99"/>
    <w:semiHidden/>
    <w:unhideWhenUsed/>
    <w:rsid w:val="00923CBA"/>
    <w:rPr>
      <w:vertAlign w:val="superscript"/>
    </w:rPr>
  </w:style>
  <w:style w:type="paragraph" w:styleId="Header">
    <w:name w:val="header"/>
    <w:basedOn w:val="Normal"/>
    <w:link w:val="HeaderChar"/>
    <w:uiPriority w:val="99"/>
    <w:unhideWhenUsed/>
    <w:rsid w:val="00CC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51"/>
  </w:style>
  <w:style w:type="paragraph" w:styleId="Footer">
    <w:name w:val="footer"/>
    <w:basedOn w:val="Normal"/>
    <w:link w:val="FooterChar"/>
    <w:uiPriority w:val="99"/>
    <w:unhideWhenUsed/>
    <w:rsid w:val="00CC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51"/>
  </w:style>
  <w:style w:type="paragraph" w:styleId="BalloonText">
    <w:name w:val="Balloon Text"/>
    <w:basedOn w:val="Normal"/>
    <w:link w:val="BalloonTextChar"/>
    <w:uiPriority w:val="99"/>
    <w:semiHidden/>
    <w:unhideWhenUsed/>
    <w:rsid w:val="0095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28"/>
    <w:rPr>
      <w:rFonts w:ascii="Tahoma" w:hAnsi="Tahoma" w:cs="Tahoma"/>
      <w:sz w:val="16"/>
      <w:szCs w:val="16"/>
    </w:rPr>
  </w:style>
  <w:style w:type="table" w:styleId="TableGrid">
    <w:name w:val="Table Grid"/>
    <w:basedOn w:val="TableNormal"/>
    <w:uiPriority w:val="59"/>
    <w:unhideWhenUsed/>
    <w:rsid w:val="00D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3944-90C6-4920-B0DF-B9226671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 David</dc:creator>
  <cp:lastModifiedBy>Mayhew, David</cp:lastModifiedBy>
  <cp:revision>2</cp:revision>
  <cp:lastPrinted>2018-12-18T15:42:00Z</cp:lastPrinted>
  <dcterms:created xsi:type="dcterms:W3CDTF">2020-01-14T19:46:00Z</dcterms:created>
  <dcterms:modified xsi:type="dcterms:W3CDTF">2020-01-14T19:46:00Z</dcterms:modified>
</cp:coreProperties>
</file>